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90967">
      <w:pPr>
        <w:widowControl w:val="0"/>
        <w:adjustRightInd/>
        <w:snapToGrid/>
        <w:ind w:firstLine="0" w:firstLineChars="0"/>
        <w:jc w:val="center"/>
        <w:rPr>
          <w:rFonts w:ascii="宋体" w:hAnsi="Courier New" w:eastAsia="黑体" w:cs="Times New Roman"/>
          <w:b/>
          <w:kern w:val="2"/>
          <w:sz w:val="32"/>
          <w:szCs w:val="32"/>
          <w:lang w:bidi="ar-SA"/>
        </w:rPr>
      </w:pPr>
      <w:bookmarkStart w:id="0" w:name="OLE_LINK7"/>
      <w:bookmarkStart w:id="1" w:name="_Toc34064675"/>
      <w:bookmarkStart w:id="2" w:name="_Toc34064617"/>
      <w:r>
        <w:rPr>
          <w:rFonts w:hint="eastAsia" w:ascii="宋体" w:hAnsi="Courier New" w:eastAsia="黑体" w:cs="Times New Roman"/>
          <w:b/>
          <w:kern w:val="2"/>
          <w:sz w:val="32"/>
          <w:szCs w:val="32"/>
          <w:lang w:bidi="ar-SA"/>
        </w:rPr>
        <w:t>团体标准《通辽牛肉质量分级》(征求意见稿)编制说明</w:t>
      </w:r>
    </w:p>
    <w:bookmarkEnd w:id="0"/>
    <w:p w14:paraId="632B9A83">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一、工作简况</w:t>
      </w:r>
      <w:bookmarkStart w:id="3" w:name="OLE_LINK9"/>
    </w:p>
    <w:bookmarkEnd w:id="3"/>
    <w:p w14:paraId="63F57436">
      <w:pPr>
        <w:pStyle w:val="3"/>
        <w:keepNext w:val="0"/>
        <w:keepLines w:val="0"/>
        <w:widowControl w:val="0"/>
        <w:adjustRightInd/>
        <w:snapToGrid/>
        <w:ind w:firstLine="562"/>
        <w:rPr>
          <w:rFonts w:ascii="Times New Roman" w:hAnsi="Times New Roman" w:eastAsia="楷体" w:cs="Times New Roman"/>
          <w:kern w:val="2"/>
          <w:sz w:val="28"/>
          <w:lang w:bidi="ar-SA"/>
        </w:rPr>
      </w:pPr>
      <w:bookmarkStart w:id="4" w:name="OLE_LINK13"/>
      <w:r>
        <w:rPr>
          <w:rFonts w:hint="eastAsia" w:ascii="Times New Roman" w:hAnsi="Times New Roman" w:eastAsia="楷体" w:cs="Times New Roman"/>
          <w:kern w:val="2"/>
          <w:sz w:val="28"/>
          <w:lang w:bidi="ar-SA"/>
        </w:rPr>
        <w:t>（一）任务来源</w:t>
      </w:r>
    </w:p>
    <w:bookmarkEnd w:id="4"/>
    <w:p w14:paraId="1E6DDFD5">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本任务来自中国肉类协会</w:t>
      </w:r>
      <w:r>
        <w:rPr>
          <w:rFonts w:ascii="Times New Roman" w:hAnsi="Times New Roman" w:cs="Times New Roman"/>
          <w:snapToGrid w:val="0"/>
          <w:sz w:val="24"/>
          <w:szCs w:val="24"/>
        </w:rPr>
        <w:t>2025年标准制定项目。</w:t>
      </w:r>
    </w:p>
    <w:p w14:paraId="0F3A3A32">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近年来，我国牛肉消费需求激增。质量分级是体现牛肉优质优价、满足消费者对高品质牛肉需求的重要手段。我国肉牛品种各异，既有安格斯牛、西门塔尔等引入品种，也有秦川牛、鲁西牛、蒙古牛等地方品种；饲养方式的不同使得不同品种、不同地域牛胴体及分割肉的性状存在一定差异。大理石花纹、肉色</w:t>
      </w:r>
      <w:bookmarkStart w:id="28" w:name="_GoBack"/>
      <w:bookmarkEnd w:id="28"/>
      <w:r>
        <w:rPr>
          <w:rFonts w:hint="eastAsia" w:ascii="Times New Roman" w:hAnsi="Times New Roman" w:cs="Times New Roman"/>
          <w:snapToGrid w:val="0"/>
          <w:sz w:val="24"/>
          <w:szCs w:val="24"/>
        </w:rPr>
        <w:t>、脂肪色、生理成熟度是划分牛胴体和分割牛肉质量等级的重要指标。通辽牛肉以出肉率高、肉质细嫩著称。中国西门塔尔牛是通辽肉牛的当家品种，数量占通辽市肉牛存栏的</w:t>
      </w:r>
      <w:r>
        <w:rPr>
          <w:rFonts w:ascii="Times New Roman" w:hAnsi="Times New Roman" w:cs="Times New Roman"/>
          <w:snapToGrid w:val="0"/>
          <w:sz w:val="24"/>
          <w:szCs w:val="24"/>
        </w:rPr>
        <w:t>96%，其大理石花纹、肌肉色和脂肪色与其他品种牛肉存在一定差异。因此，借鉴国家推荐性标</w:t>
      </w:r>
      <w:r>
        <w:rPr>
          <w:rFonts w:hint="eastAsia" w:ascii="Times New Roman" w:hAnsi="Times New Roman" w:cs="Times New Roman"/>
          <w:snapToGrid w:val="0"/>
          <w:sz w:val="24"/>
          <w:szCs w:val="24"/>
        </w:rPr>
        <w:t>准、行业标准基础上，制定更具针对性的适用于通辽牛肉胴体的分级指标及划分标准，进而形成胴体分级和上脑、里脊、西冷、菲力等分割牛肉产品分级团体标准，将更好实现通辽牛肉的优质优价、带动通辽牛肉产业高质量发展。</w:t>
      </w:r>
    </w:p>
    <w:p w14:paraId="5084824C">
      <w:pPr>
        <w:pStyle w:val="3"/>
        <w:keepNext w:val="0"/>
        <w:keepLines w:val="0"/>
        <w:spacing w:line="500" w:lineRule="exact"/>
        <w:ind w:firstLine="562"/>
        <w:rPr>
          <w:rFonts w:ascii="Times New Roman" w:hAnsi="Times New Roman"/>
          <w:sz w:val="28"/>
        </w:rPr>
      </w:pPr>
      <w:r>
        <w:rPr>
          <w:rFonts w:ascii="Times New Roman" w:hAnsi="Times New Roman"/>
          <w:sz w:val="28"/>
        </w:rPr>
        <w:t>（二）起草单位</w:t>
      </w:r>
      <w:r>
        <w:rPr>
          <w:rFonts w:hint="eastAsia" w:ascii="Times New Roman" w:hAnsi="Times New Roman"/>
          <w:sz w:val="28"/>
        </w:rPr>
        <w:t>、起草人</w:t>
      </w:r>
    </w:p>
    <w:p w14:paraId="3C07894E">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略。</w:t>
      </w:r>
    </w:p>
    <w:p w14:paraId="34887EBF">
      <w:pPr>
        <w:pStyle w:val="3"/>
        <w:keepNext w:val="0"/>
        <w:keepLines w:val="0"/>
        <w:widowControl w:val="0"/>
        <w:adjustRightInd/>
        <w:snapToGrid/>
        <w:ind w:firstLine="562"/>
        <w:rPr>
          <w:rFonts w:ascii="Times New Roman" w:hAnsi="Times New Roman" w:eastAsia="楷体" w:cs="Times New Roman"/>
          <w:kern w:val="2"/>
          <w:sz w:val="28"/>
          <w:lang w:bidi="ar-SA"/>
        </w:rPr>
      </w:pPr>
      <w:bookmarkStart w:id="5" w:name="OLE_LINK18"/>
      <w:r>
        <w:rPr>
          <w:rFonts w:hint="eastAsia" w:ascii="Times New Roman" w:hAnsi="Times New Roman" w:eastAsia="楷体" w:cs="Times New Roman"/>
          <w:kern w:val="2"/>
          <w:sz w:val="28"/>
          <w:lang w:bidi="ar-SA"/>
        </w:rPr>
        <w:t>（三）主要工作过程</w:t>
      </w:r>
    </w:p>
    <w:bookmarkEnd w:id="5"/>
    <w:p w14:paraId="47FCE5FA">
      <w:pPr>
        <w:ind w:firstLine="482"/>
        <w:rPr>
          <w:b/>
          <w:bCs/>
          <w:snapToGrid w:val="0"/>
          <w:sz w:val="24"/>
          <w:szCs w:val="24"/>
        </w:rPr>
      </w:pPr>
      <w:bookmarkStart w:id="6" w:name="OLE_LINK28"/>
      <w:r>
        <w:rPr>
          <w:b/>
          <w:bCs/>
          <w:snapToGrid w:val="0"/>
          <w:sz w:val="24"/>
          <w:szCs w:val="24"/>
        </w:rPr>
        <w:t>1.起草阶段</w:t>
      </w:r>
    </w:p>
    <w:bookmarkEnd w:id="6"/>
    <w:p w14:paraId="78D2C086">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标准立项后，中国肉类食品综合研究中心成立标准起草组，制定标准工作计划，明确参与起草单位和人员及其职责分工，研讨标准框架和提纲，确定标准编制工作进度安排及要求。</w:t>
      </w:r>
    </w:p>
    <w:p w14:paraId="67E6B710">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标准起草组对国内外同类或类似标准、研究文献、研究成果等进行收集整理，编制标准草案。起草组组织召开标准研讨会，研讨标准技术要求，修改标准草案。</w:t>
      </w:r>
    </w:p>
    <w:p w14:paraId="1947F68E">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2025年4月，起草组赴通辽肉牛屠宰企业进行调研，通过考察调研，进一步完善标准内容。</w:t>
      </w:r>
      <w:r>
        <w:rPr>
          <w:rFonts w:hint="eastAsia" w:ascii="Times New Roman" w:hAnsi="Times New Roman" w:cs="Times New Roman"/>
          <w:snapToGrid w:val="0"/>
          <w:sz w:val="24"/>
          <w:szCs w:val="24"/>
        </w:rPr>
        <w:t>202</w:t>
      </w:r>
      <w:r>
        <w:rPr>
          <w:rFonts w:ascii="Times New Roman" w:hAnsi="Times New Roman" w:cs="Times New Roman"/>
          <w:snapToGrid w:val="0"/>
          <w:sz w:val="24"/>
          <w:szCs w:val="24"/>
        </w:rPr>
        <w:t>5</w:t>
      </w:r>
      <w:r>
        <w:rPr>
          <w:rFonts w:hint="eastAsia" w:ascii="Times New Roman" w:hAnsi="Times New Roman" w:cs="Times New Roman"/>
          <w:snapToGrid w:val="0"/>
          <w:sz w:val="24"/>
          <w:szCs w:val="24"/>
        </w:rPr>
        <w:t>年</w:t>
      </w:r>
      <w:r>
        <w:rPr>
          <w:rFonts w:ascii="Times New Roman" w:hAnsi="Times New Roman" w:cs="Times New Roman"/>
          <w:snapToGrid w:val="0"/>
          <w:sz w:val="24"/>
          <w:szCs w:val="24"/>
        </w:rPr>
        <w:t>5</w:t>
      </w:r>
      <w:r>
        <w:rPr>
          <w:rFonts w:hint="eastAsia" w:ascii="Times New Roman" w:hAnsi="Times New Roman" w:cs="Times New Roman"/>
          <w:snapToGrid w:val="0"/>
          <w:sz w:val="24"/>
          <w:szCs w:val="24"/>
        </w:rPr>
        <w:t>月</w:t>
      </w:r>
      <w:r>
        <w:rPr>
          <w:rFonts w:ascii="Times New Roman" w:hAnsi="Times New Roman" w:cs="Times New Roman"/>
          <w:snapToGrid w:val="0"/>
          <w:sz w:val="24"/>
          <w:szCs w:val="24"/>
        </w:rPr>
        <w:t>15</w:t>
      </w:r>
      <w:r>
        <w:rPr>
          <w:rFonts w:hint="eastAsia" w:ascii="Times New Roman" w:hAnsi="Times New Roman" w:cs="Times New Roman"/>
          <w:snapToGrid w:val="0"/>
          <w:sz w:val="24"/>
          <w:szCs w:val="24"/>
        </w:rPr>
        <w:t>日召开了标准研讨会，</w:t>
      </w:r>
      <w:r>
        <w:rPr>
          <w:rFonts w:ascii="Times New Roman" w:hAnsi="Times New Roman" w:cs="Times New Roman"/>
          <w:snapToGrid w:val="0"/>
          <w:sz w:val="24"/>
          <w:szCs w:val="24"/>
        </w:rPr>
        <w:t>起草组根据专家意见进行了修改，形成标准征求意见稿。</w:t>
      </w:r>
    </w:p>
    <w:p w14:paraId="057018A6">
      <w:pPr>
        <w:ind w:firstLine="482"/>
        <w:rPr>
          <w:b/>
          <w:bCs/>
          <w:snapToGrid w:val="0"/>
          <w:sz w:val="24"/>
          <w:szCs w:val="24"/>
        </w:rPr>
      </w:pPr>
      <w:r>
        <w:rPr>
          <w:rFonts w:hint="eastAsia"/>
          <w:b/>
          <w:bCs/>
          <w:snapToGrid w:val="0"/>
          <w:sz w:val="24"/>
          <w:szCs w:val="24"/>
        </w:rPr>
        <w:t>2</w:t>
      </w:r>
      <w:r>
        <w:rPr>
          <w:b/>
          <w:bCs/>
          <w:snapToGrid w:val="0"/>
          <w:sz w:val="24"/>
          <w:szCs w:val="24"/>
        </w:rPr>
        <w:t>.</w:t>
      </w:r>
      <w:r>
        <w:rPr>
          <w:rFonts w:hint="eastAsia"/>
          <w:b/>
          <w:bCs/>
          <w:snapToGrid w:val="0"/>
          <w:sz w:val="24"/>
          <w:szCs w:val="24"/>
        </w:rPr>
        <w:t>征求意见阶段</w:t>
      </w:r>
    </w:p>
    <w:p w14:paraId="4E438824">
      <w:pPr>
        <w:pStyle w:val="6"/>
        <w:ind w:firstLine="0" w:firstLineChars="0"/>
        <w:rPr>
          <w:rFonts w:ascii="Times New Roman" w:hAnsi="Times New Roman" w:cs="Times New Roman"/>
          <w:snapToGrid w:val="0"/>
          <w:sz w:val="24"/>
          <w:szCs w:val="24"/>
        </w:rPr>
      </w:pPr>
    </w:p>
    <w:p w14:paraId="5B2A4046">
      <w:pPr>
        <w:ind w:firstLine="482"/>
        <w:rPr>
          <w:b/>
          <w:bCs/>
          <w:snapToGrid w:val="0"/>
          <w:sz w:val="24"/>
          <w:szCs w:val="24"/>
        </w:rPr>
      </w:pPr>
      <w:r>
        <w:rPr>
          <w:rFonts w:hint="eastAsia"/>
          <w:b/>
          <w:bCs/>
          <w:snapToGrid w:val="0"/>
          <w:sz w:val="24"/>
          <w:szCs w:val="24"/>
        </w:rPr>
        <w:t>3.审查阶段</w:t>
      </w:r>
      <w:bookmarkStart w:id="7" w:name="OLE_LINK129"/>
    </w:p>
    <w:p w14:paraId="10CE946A">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 xml:space="preserve"> </w:t>
      </w:r>
    </w:p>
    <w:p w14:paraId="26B85C44">
      <w:pPr>
        <w:pStyle w:val="2"/>
        <w:keepNext w:val="0"/>
        <w:keepLines w:val="0"/>
        <w:widowControl w:val="0"/>
        <w:adjustRightInd/>
        <w:snapToGrid/>
        <w:ind w:firstLine="560"/>
        <w:rPr>
          <w:rFonts w:ascii="Times New Roman" w:hAnsi="Times New Roman" w:cs="Times New Roman"/>
          <w:b w:val="0"/>
          <w:bCs/>
          <w:szCs w:val="44"/>
          <w:lang w:bidi="ar-SA"/>
        </w:rPr>
      </w:pPr>
      <w:bookmarkStart w:id="8" w:name="OLE_LINK19"/>
      <w:bookmarkStart w:id="9" w:name="OLE_LINK20"/>
      <w:r>
        <w:rPr>
          <w:rFonts w:hint="eastAsia" w:ascii="Times New Roman" w:hAnsi="Times New Roman" w:cs="Times New Roman"/>
          <w:b w:val="0"/>
          <w:bCs/>
          <w:szCs w:val="44"/>
          <w:lang w:bidi="ar-SA"/>
        </w:rPr>
        <w:t>二、标准编制原则和确定标准主要内容的依据</w:t>
      </w:r>
    </w:p>
    <w:bookmarkEnd w:id="7"/>
    <w:bookmarkEnd w:id="8"/>
    <w:bookmarkEnd w:id="9"/>
    <w:p w14:paraId="3451ED16">
      <w:pPr>
        <w:pStyle w:val="3"/>
        <w:keepNext w:val="0"/>
        <w:keepLines w:val="0"/>
        <w:widowControl w:val="0"/>
        <w:adjustRightInd/>
        <w:snapToGrid/>
        <w:ind w:firstLine="562"/>
        <w:rPr>
          <w:rFonts w:ascii="Times New Roman" w:hAnsi="Times New Roman" w:eastAsia="楷体" w:cs="Times New Roman"/>
          <w:kern w:val="2"/>
          <w:sz w:val="28"/>
          <w:lang w:bidi="ar-SA"/>
        </w:rPr>
      </w:pPr>
      <w:bookmarkStart w:id="10" w:name="OLE_LINK21"/>
      <w:r>
        <w:rPr>
          <w:rFonts w:hint="eastAsia" w:ascii="Times New Roman" w:hAnsi="Times New Roman" w:eastAsia="楷体" w:cs="Times New Roman"/>
          <w:kern w:val="2"/>
          <w:sz w:val="28"/>
          <w:lang w:bidi="ar-SA"/>
        </w:rPr>
        <w:t>（一）标准的修订原则</w:t>
      </w:r>
    </w:p>
    <w:bookmarkEnd w:id="10"/>
    <w:p w14:paraId="3948E045">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按照GB/T 1.1</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2020《标准化工作导则 第1部分：标准化文件的结构和起草规则》、GB/T 1.2</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2020《标准化工作导则 第2部分：以ISO/IEC标准化文件为基础的标准化文件起草规则》、GB/T 20001.4</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2015《标准编制规则 第4部分：试验方法标准》的规定和要求</w:t>
      </w:r>
      <w:r>
        <w:rPr>
          <w:rFonts w:hint="eastAsia" w:ascii="Times New Roman" w:hAnsi="Times New Roman" w:cs="Times New Roman"/>
          <w:snapToGrid w:val="0"/>
          <w:sz w:val="24"/>
          <w:szCs w:val="24"/>
        </w:rPr>
        <w:t>对标准进行修订编写</w:t>
      </w:r>
      <w:r>
        <w:rPr>
          <w:rFonts w:ascii="Times New Roman" w:hAnsi="Times New Roman" w:cs="Times New Roman"/>
          <w:snapToGrid w:val="0"/>
          <w:sz w:val="24"/>
          <w:szCs w:val="24"/>
        </w:rPr>
        <w:t>。</w:t>
      </w:r>
      <w:r>
        <w:rPr>
          <w:rFonts w:hint="eastAsia" w:ascii="Times New Roman" w:hAnsi="Times New Roman" w:cs="Times New Roman"/>
          <w:snapToGrid w:val="0"/>
          <w:sz w:val="24"/>
          <w:szCs w:val="24"/>
        </w:rPr>
        <w:t>本标准的修订遵循以下原则：</w:t>
      </w:r>
    </w:p>
    <w:p w14:paraId="4309EC42">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一是科学性原则。参考国内外法规、标准和有关文献资料，结合行业和产品特点，密切联系企业生产实践，科学地确定标准体系框架，并对其进行详细的说明。</w:t>
      </w:r>
    </w:p>
    <w:p w14:paraId="1C5A9F6A">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二是适用性原则。与我国现行食品</w:t>
      </w:r>
      <w:r>
        <w:rPr>
          <w:rFonts w:hint="eastAsia" w:ascii="Times New Roman" w:hAnsi="Times New Roman" w:cs="Times New Roman"/>
          <w:snapToGrid w:val="0"/>
          <w:sz w:val="24"/>
          <w:szCs w:val="24"/>
        </w:rPr>
        <w:t>法律法规</w:t>
      </w:r>
      <w:r>
        <w:rPr>
          <w:rFonts w:ascii="Times New Roman" w:hAnsi="Times New Roman" w:cs="Times New Roman"/>
          <w:snapToGrid w:val="0"/>
          <w:sz w:val="24"/>
          <w:szCs w:val="24"/>
        </w:rPr>
        <w:t>协调一致</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标准内容便于实施，易于被其他标准或文件所引用，确保标准的适用性。</w:t>
      </w:r>
    </w:p>
    <w:p w14:paraId="7E12BE1D">
      <w:pPr>
        <w:pStyle w:val="3"/>
        <w:keepNext w:val="0"/>
        <w:keepLines w:val="0"/>
        <w:widowControl w:val="0"/>
        <w:adjustRightInd/>
        <w:snapToGrid/>
        <w:ind w:firstLine="562"/>
        <w:rPr>
          <w:rFonts w:ascii="Times New Roman" w:hAnsi="Times New Roman" w:eastAsia="楷体" w:cs="Times New Roman"/>
          <w:kern w:val="2"/>
          <w:sz w:val="28"/>
          <w:lang w:bidi="ar-SA"/>
        </w:rPr>
      </w:pPr>
      <w:r>
        <w:rPr>
          <w:rFonts w:hint="eastAsia" w:ascii="Times New Roman" w:hAnsi="Times New Roman" w:eastAsia="楷体" w:cs="Times New Roman"/>
          <w:kern w:val="2"/>
          <w:sz w:val="28"/>
          <w:lang w:bidi="ar-SA"/>
        </w:rPr>
        <w:t>（二）主要内容的依据</w:t>
      </w:r>
    </w:p>
    <w:p w14:paraId="05889257">
      <w:pPr>
        <w:adjustRightInd/>
        <w:snapToGrid/>
        <w:ind w:firstLine="482"/>
        <w:rPr>
          <w:rFonts w:ascii="Times New Roman" w:hAnsi="Times New Roman" w:eastAsia="宋体" w:cs="Times New Roman"/>
          <w:b/>
          <w:bCs/>
          <w:kern w:val="2"/>
          <w:sz w:val="24"/>
          <w:szCs w:val="24"/>
          <w:lang w:bidi="ar-SA"/>
        </w:rPr>
      </w:pPr>
      <w:bookmarkStart w:id="11" w:name="OLE_LINK22"/>
      <w:r>
        <w:rPr>
          <w:rFonts w:ascii="Times New Roman" w:hAnsi="Times New Roman" w:eastAsia="宋体" w:cs="Times New Roman"/>
          <w:b/>
          <w:bCs/>
          <w:kern w:val="2"/>
          <w:sz w:val="24"/>
          <w:szCs w:val="24"/>
          <w:lang w:bidi="ar-SA"/>
        </w:rPr>
        <w:t>1 范围</w:t>
      </w:r>
      <w:bookmarkEnd w:id="1"/>
      <w:bookmarkEnd w:id="2"/>
    </w:p>
    <w:bookmarkEnd w:id="11"/>
    <w:p w14:paraId="34966903">
      <w:pPr>
        <w:pStyle w:val="29"/>
        <w:ind w:firstLine="482"/>
        <w:rPr>
          <w:rFonts w:ascii="Times New Roman"/>
          <w:b/>
          <w:bCs/>
          <w:snapToGrid w:val="0"/>
          <w:sz w:val="24"/>
          <w:szCs w:val="24"/>
        </w:rPr>
      </w:pPr>
      <w:r>
        <w:rPr>
          <w:rFonts w:hint="eastAsia" w:ascii="Times New Roman"/>
          <w:b/>
          <w:bCs/>
          <w:snapToGrid w:val="0"/>
          <w:sz w:val="24"/>
          <w:szCs w:val="24"/>
        </w:rPr>
        <w:t>标准文本：</w:t>
      </w:r>
    </w:p>
    <w:p w14:paraId="6521F59E">
      <w:pPr>
        <w:pStyle w:val="29"/>
        <w:ind w:firstLine="480"/>
        <w:rPr>
          <w:snapToGrid w:val="0"/>
          <w:sz w:val="24"/>
          <w:szCs w:val="24"/>
        </w:rPr>
      </w:pPr>
      <w:r>
        <w:rPr>
          <w:rFonts w:hint="eastAsia"/>
          <w:snapToGrid w:val="0"/>
          <w:sz w:val="24"/>
          <w:szCs w:val="24"/>
        </w:rPr>
        <w:t>本文件规定了通辽肉牛的牛胴体及分割肉分级的基本要求、等级划分、技术指标评定方法、、等级评定方法、标志、包装和记录的要求</w:t>
      </w:r>
    </w:p>
    <w:p w14:paraId="0B662063">
      <w:pPr>
        <w:pStyle w:val="29"/>
        <w:ind w:firstLine="480"/>
        <w:rPr>
          <w:snapToGrid w:val="0"/>
          <w:sz w:val="24"/>
          <w:szCs w:val="24"/>
        </w:rPr>
      </w:pPr>
      <w:r>
        <w:rPr>
          <w:rFonts w:hint="eastAsia"/>
          <w:snapToGrid w:val="0"/>
          <w:sz w:val="24"/>
          <w:szCs w:val="24"/>
        </w:rPr>
        <w:t>本文件适用于通辽肉牛的胴体和分割肉分级。</w:t>
      </w:r>
    </w:p>
    <w:p w14:paraId="3AB7D952">
      <w:pPr>
        <w:ind w:firstLine="482"/>
        <w:rPr>
          <w:b/>
          <w:sz w:val="24"/>
        </w:rPr>
      </w:pPr>
      <w:bookmarkStart w:id="12" w:name="OLE_LINK31"/>
      <w:r>
        <w:rPr>
          <w:rFonts w:hint="eastAsia"/>
          <w:b/>
          <w:sz w:val="24"/>
        </w:rPr>
        <w:t>制定依据：</w:t>
      </w:r>
      <w:bookmarkEnd w:id="12"/>
    </w:p>
    <w:p w14:paraId="6F8F144E">
      <w:pPr>
        <w:ind w:firstLine="480"/>
        <w:rPr>
          <w:snapToGrid w:val="0"/>
          <w:sz w:val="24"/>
          <w:szCs w:val="24"/>
        </w:rPr>
      </w:pPr>
      <w:r>
        <w:rPr>
          <w:rFonts w:hint="eastAsia"/>
          <w:snapToGrid w:val="0"/>
          <w:sz w:val="24"/>
          <w:szCs w:val="24"/>
        </w:rPr>
        <w:t>本条规定了通辽牛肉分级的技术内容及适用范围。</w:t>
      </w:r>
    </w:p>
    <w:p w14:paraId="5822F7BE">
      <w:pPr>
        <w:ind w:firstLine="480"/>
        <w:rPr>
          <w:snapToGrid w:val="0"/>
          <w:sz w:val="24"/>
          <w:szCs w:val="24"/>
        </w:rPr>
      </w:pPr>
      <w:r>
        <w:rPr>
          <w:rFonts w:hint="eastAsia"/>
          <w:snapToGrid w:val="0"/>
          <w:sz w:val="24"/>
          <w:szCs w:val="24"/>
        </w:rPr>
        <w:t>本文件规定的技术内容包括通辽肉牛胴体和通辽分割牛肉等级划分和评定方法。等级划分包括产量等级和质量等级，并规定了产量等级和质量等级评定的指标，如屠宰率和生理成熟度等。评定方法则给出了每个等级评定指标判定的具体方法。</w:t>
      </w:r>
    </w:p>
    <w:p w14:paraId="33D4333F">
      <w:pPr>
        <w:ind w:firstLine="480"/>
        <w:rPr>
          <w:snapToGrid w:val="0"/>
          <w:sz w:val="24"/>
          <w:szCs w:val="24"/>
        </w:rPr>
      </w:pPr>
      <w:r>
        <w:rPr>
          <w:rFonts w:hint="eastAsia"/>
          <w:snapToGrid w:val="0"/>
          <w:sz w:val="24"/>
          <w:szCs w:val="24"/>
        </w:rPr>
        <w:t>本文件适用于通辽肉牛胴体和通辽分割牛肉分级。</w:t>
      </w:r>
    </w:p>
    <w:p w14:paraId="2F09550C">
      <w:pPr>
        <w:pStyle w:val="33"/>
        <w:numPr>
          <w:ilvl w:val="0"/>
          <w:numId w:val="0"/>
        </w:numPr>
        <w:spacing w:beforeLines="0" w:afterLines="0" w:line="360" w:lineRule="auto"/>
        <w:ind w:firstLine="482" w:firstLineChars="200"/>
        <w:rPr>
          <w:rFonts w:ascii="Times New Roman" w:eastAsia="宋体"/>
          <w:b/>
          <w:bCs/>
          <w:snapToGrid w:val="0"/>
          <w:sz w:val="24"/>
          <w:szCs w:val="24"/>
        </w:rPr>
      </w:pPr>
      <w:bookmarkStart w:id="13" w:name="_Toc34064618"/>
      <w:bookmarkStart w:id="14" w:name="_Toc34064676"/>
      <w:bookmarkStart w:id="15" w:name="OLE_LINK34"/>
      <w:r>
        <w:rPr>
          <w:rFonts w:ascii="Times New Roman" w:eastAsia="宋体"/>
          <w:b/>
          <w:bCs/>
          <w:snapToGrid w:val="0"/>
          <w:sz w:val="24"/>
          <w:szCs w:val="24"/>
        </w:rPr>
        <w:t>2 规范性引用文件</w:t>
      </w:r>
      <w:bookmarkEnd w:id="13"/>
      <w:bookmarkEnd w:id="14"/>
    </w:p>
    <w:bookmarkEnd w:id="15"/>
    <w:p w14:paraId="4AEF9F84">
      <w:pPr>
        <w:pStyle w:val="29"/>
        <w:ind w:firstLine="482"/>
        <w:rPr>
          <w:rFonts w:ascii="Times New Roman"/>
          <w:b/>
          <w:bCs/>
          <w:snapToGrid w:val="0"/>
          <w:sz w:val="24"/>
          <w:szCs w:val="24"/>
        </w:rPr>
      </w:pPr>
      <w:r>
        <w:rPr>
          <w:rFonts w:hint="eastAsia" w:ascii="Times New Roman"/>
          <w:b/>
          <w:bCs/>
          <w:snapToGrid w:val="0"/>
          <w:sz w:val="24"/>
          <w:szCs w:val="24"/>
        </w:rPr>
        <w:t>标准文本：</w:t>
      </w:r>
    </w:p>
    <w:p w14:paraId="59E0FB94">
      <w:pPr>
        <w:pStyle w:val="29"/>
        <w:ind w:firstLine="480"/>
        <w:rPr>
          <w:rFonts w:ascii="Times New Roman"/>
          <w:snapToGrid w:val="0"/>
          <w:sz w:val="24"/>
          <w:szCs w:val="24"/>
        </w:rPr>
      </w:pPr>
      <w:bookmarkStart w:id="16" w:name="OLE_LINK38"/>
      <w:bookmarkStart w:id="17" w:name="_Toc28096568"/>
      <w:bookmarkStart w:id="18" w:name="_Toc34064619"/>
      <w:bookmarkStart w:id="19" w:name="_Toc34064677"/>
      <w:bookmarkStart w:id="20" w:name="_Toc28093197"/>
      <w:bookmarkStart w:id="21" w:name="_Toc28158537"/>
      <w:r>
        <w:rPr>
          <w:rFonts w:hint="eastAsia" w:ascii="Times New Roman"/>
          <w:snapToGrid w:val="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50EEDF9">
      <w:pPr>
        <w:pStyle w:val="29"/>
        <w:ind w:firstLine="480"/>
        <w:rPr>
          <w:rFonts w:ascii="Times New Roman"/>
          <w:snapToGrid w:val="0"/>
          <w:sz w:val="24"/>
          <w:szCs w:val="24"/>
        </w:rPr>
      </w:pPr>
      <w:r>
        <w:rPr>
          <w:rFonts w:ascii="Times New Roman"/>
          <w:snapToGrid w:val="0"/>
          <w:sz w:val="24"/>
          <w:szCs w:val="24"/>
        </w:rPr>
        <w:t>GB/T 191  包装储运图示标志</w:t>
      </w:r>
    </w:p>
    <w:p w14:paraId="4314CE2D">
      <w:pPr>
        <w:pStyle w:val="29"/>
        <w:ind w:firstLine="480"/>
        <w:rPr>
          <w:rFonts w:ascii="Times New Roman"/>
          <w:snapToGrid w:val="0"/>
          <w:sz w:val="24"/>
          <w:szCs w:val="24"/>
        </w:rPr>
      </w:pPr>
      <w:r>
        <w:rPr>
          <w:rFonts w:ascii="Times New Roman"/>
          <w:snapToGrid w:val="0"/>
          <w:sz w:val="24"/>
          <w:szCs w:val="24"/>
        </w:rPr>
        <w:t>GB/T 6388  运输包装收发货标志</w:t>
      </w:r>
    </w:p>
    <w:p w14:paraId="0258BE01">
      <w:pPr>
        <w:pStyle w:val="29"/>
        <w:ind w:firstLine="480"/>
        <w:rPr>
          <w:rFonts w:ascii="Times New Roman"/>
          <w:snapToGrid w:val="0"/>
          <w:sz w:val="24"/>
          <w:szCs w:val="24"/>
        </w:rPr>
      </w:pPr>
      <w:r>
        <w:rPr>
          <w:rFonts w:ascii="Times New Roman"/>
          <w:snapToGrid w:val="0"/>
          <w:sz w:val="24"/>
          <w:szCs w:val="24"/>
        </w:rPr>
        <w:t>GB/T 19477  畜禽屠宰操作规程  牛</w:t>
      </w:r>
    </w:p>
    <w:p w14:paraId="37957D41">
      <w:pPr>
        <w:pStyle w:val="29"/>
        <w:ind w:firstLine="480"/>
        <w:rPr>
          <w:rFonts w:ascii="Times New Roman"/>
          <w:snapToGrid w:val="0"/>
          <w:sz w:val="24"/>
          <w:szCs w:val="24"/>
        </w:rPr>
      </w:pPr>
      <w:r>
        <w:rPr>
          <w:rFonts w:ascii="Times New Roman"/>
          <w:snapToGrid w:val="0"/>
          <w:sz w:val="24"/>
          <w:szCs w:val="24"/>
        </w:rPr>
        <w:t>GB/T 27643  牛胴体及鲜肉分割</w:t>
      </w:r>
    </w:p>
    <w:p w14:paraId="2104661A">
      <w:pPr>
        <w:pStyle w:val="29"/>
        <w:ind w:firstLine="480"/>
        <w:rPr>
          <w:rFonts w:ascii="Times New Roman"/>
          <w:snapToGrid w:val="0"/>
          <w:sz w:val="24"/>
          <w:szCs w:val="24"/>
        </w:rPr>
      </w:pPr>
      <w:r>
        <w:rPr>
          <w:rFonts w:ascii="Times New Roman"/>
          <w:snapToGrid w:val="0"/>
          <w:sz w:val="24"/>
          <w:szCs w:val="24"/>
        </w:rPr>
        <w:t>GB/T 29392  畜禽肉质量分级  牛肉</w:t>
      </w:r>
    </w:p>
    <w:p w14:paraId="2357FA2D">
      <w:pPr>
        <w:pStyle w:val="29"/>
        <w:ind w:firstLine="480"/>
        <w:rPr>
          <w:rFonts w:ascii="Times New Roman"/>
          <w:snapToGrid w:val="0"/>
          <w:sz w:val="24"/>
          <w:szCs w:val="24"/>
        </w:rPr>
      </w:pPr>
      <w:r>
        <w:rPr>
          <w:rFonts w:ascii="Times New Roman"/>
          <w:snapToGrid w:val="0"/>
          <w:sz w:val="24"/>
          <w:szCs w:val="24"/>
        </w:rPr>
        <w:t>GB/T 37061  畜禽肉质量分级导则</w:t>
      </w:r>
    </w:p>
    <w:p w14:paraId="4BA526E8">
      <w:pPr>
        <w:pStyle w:val="29"/>
        <w:ind w:firstLine="480"/>
        <w:rPr>
          <w:rFonts w:ascii="Times New Roman"/>
          <w:snapToGrid w:val="0"/>
          <w:sz w:val="24"/>
          <w:szCs w:val="24"/>
        </w:rPr>
      </w:pPr>
      <w:r>
        <w:rPr>
          <w:rFonts w:ascii="Times New Roman"/>
          <w:snapToGrid w:val="0"/>
          <w:sz w:val="24"/>
          <w:szCs w:val="24"/>
        </w:rPr>
        <w:t>NY/T 676  牛肉等级规格</w:t>
      </w:r>
    </w:p>
    <w:p w14:paraId="62FC9C52">
      <w:pPr>
        <w:pStyle w:val="29"/>
        <w:ind w:firstLine="480"/>
        <w:rPr>
          <w:rFonts w:ascii="Times New Roman"/>
          <w:snapToGrid w:val="0"/>
          <w:sz w:val="24"/>
          <w:szCs w:val="24"/>
        </w:rPr>
      </w:pPr>
      <w:r>
        <w:rPr>
          <w:rFonts w:ascii="Times New Roman"/>
          <w:snapToGrid w:val="0"/>
          <w:sz w:val="24"/>
          <w:szCs w:val="24"/>
        </w:rPr>
        <w:t>NY/T 3383  畜禽产品包装与标识</w:t>
      </w:r>
    </w:p>
    <w:p w14:paraId="44763365">
      <w:pPr>
        <w:pStyle w:val="29"/>
        <w:ind w:firstLine="480"/>
        <w:rPr>
          <w:rFonts w:ascii="Times New Roman"/>
          <w:snapToGrid w:val="0"/>
          <w:sz w:val="24"/>
          <w:szCs w:val="24"/>
        </w:rPr>
      </w:pPr>
      <w:r>
        <w:rPr>
          <w:rFonts w:ascii="Times New Roman"/>
          <w:snapToGrid w:val="0"/>
          <w:sz w:val="24"/>
          <w:szCs w:val="24"/>
        </w:rPr>
        <w:t>T/CMATB 3012 通辽牛肉</w:t>
      </w:r>
    </w:p>
    <w:p w14:paraId="2A711F52">
      <w:pPr>
        <w:pStyle w:val="29"/>
        <w:ind w:firstLine="480"/>
        <w:rPr>
          <w:rFonts w:ascii="Times New Roman"/>
          <w:snapToGrid w:val="0"/>
          <w:sz w:val="24"/>
          <w:szCs w:val="24"/>
        </w:rPr>
      </w:pPr>
      <w:r>
        <w:rPr>
          <w:rFonts w:ascii="Times New Roman"/>
          <w:snapToGrid w:val="0"/>
          <w:sz w:val="24"/>
          <w:szCs w:val="24"/>
        </w:rPr>
        <w:t>T/CMATB XXXX  通辽肉牛饲养管理技术规程</w:t>
      </w:r>
    </w:p>
    <w:p w14:paraId="6CD53C13">
      <w:pPr>
        <w:pStyle w:val="29"/>
        <w:ind w:firstLine="480"/>
        <w:rPr>
          <w:rFonts w:ascii="Times New Roman"/>
          <w:snapToGrid w:val="0"/>
          <w:sz w:val="24"/>
          <w:szCs w:val="24"/>
        </w:rPr>
      </w:pPr>
      <w:r>
        <w:rPr>
          <w:rFonts w:ascii="Times New Roman"/>
          <w:snapToGrid w:val="0"/>
          <w:sz w:val="24"/>
          <w:szCs w:val="24"/>
        </w:rPr>
        <w:t>T/CMATB XXXX  通辽肉牛屠宰操作规程</w:t>
      </w:r>
    </w:p>
    <w:p w14:paraId="69BCE3C1">
      <w:pPr>
        <w:pStyle w:val="29"/>
        <w:ind w:firstLine="480"/>
        <w:rPr>
          <w:rFonts w:ascii="Times New Roman"/>
          <w:snapToGrid w:val="0"/>
          <w:sz w:val="24"/>
          <w:szCs w:val="24"/>
        </w:rPr>
      </w:pPr>
      <w:r>
        <w:rPr>
          <w:rFonts w:ascii="Times New Roman"/>
          <w:snapToGrid w:val="0"/>
          <w:sz w:val="24"/>
          <w:szCs w:val="24"/>
        </w:rPr>
        <w:t>T/CMATB XXXX  通辽牛肉分割技术规程</w:t>
      </w:r>
    </w:p>
    <w:p w14:paraId="74A20AE0">
      <w:pPr>
        <w:pStyle w:val="29"/>
        <w:ind w:firstLine="482"/>
        <w:rPr>
          <w:b/>
          <w:bCs/>
          <w:snapToGrid w:val="0"/>
        </w:rPr>
      </w:pPr>
      <w:r>
        <w:rPr>
          <w:rFonts w:hint="eastAsia" w:cs="宋体" w:asciiTheme="minorEastAsia" w:hAnsiTheme="minorEastAsia" w:eastAsiaTheme="minorEastAsia"/>
          <w:b/>
          <w:sz w:val="24"/>
          <w:lang w:bidi="zh-TW"/>
        </w:rPr>
        <w:t>制定依据：</w:t>
      </w:r>
      <w:bookmarkEnd w:id="16"/>
    </w:p>
    <w:p w14:paraId="15CF0EDB">
      <w:pPr>
        <w:ind w:firstLine="480"/>
        <w:jc w:val="left"/>
      </w:pPr>
      <w:r>
        <w:rPr>
          <w:rFonts w:hint="eastAsia"/>
          <w:snapToGrid w:val="0"/>
          <w:sz w:val="24"/>
          <w:szCs w:val="24"/>
        </w:rPr>
        <w:t>本部分列出了标准正文中引用的相关标准和文件。主要包括国家、行业的通用标准和一些基础性标准。</w:t>
      </w:r>
      <w:r>
        <w:rPr>
          <w:rFonts w:hint="eastAsia" w:ascii="宋体" w:hAnsi="宋体" w:eastAsia="宋体"/>
          <w:color w:val="000000"/>
          <w:sz w:val="24"/>
          <w:szCs w:val="24"/>
          <w:lang w:bidi="ar"/>
        </w:rPr>
        <w:t>这些引用文件对于本文件是不可或缺的，在相关内容中都有引用。</w:t>
      </w:r>
    </w:p>
    <w:p w14:paraId="76544B4D">
      <w:pPr>
        <w:ind w:firstLine="482"/>
        <w:jc w:val="left"/>
        <w:rPr>
          <w:rFonts w:ascii="Times New Roman" w:hAnsi="Times New Roman" w:eastAsia="宋体" w:cs="Times New Roman"/>
          <w:b/>
          <w:bCs/>
          <w:snapToGrid w:val="0"/>
          <w:sz w:val="24"/>
          <w:szCs w:val="24"/>
          <w:lang w:bidi="ar-SA"/>
        </w:rPr>
      </w:pPr>
      <w:r>
        <w:rPr>
          <w:rFonts w:hint="eastAsia" w:ascii="Times New Roman" w:eastAsia="宋体"/>
          <w:b/>
          <w:bCs/>
          <w:snapToGrid w:val="0"/>
          <w:sz w:val="24"/>
          <w:szCs w:val="24"/>
        </w:rPr>
        <w:t xml:space="preserve">3 </w:t>
      </w:r>
      <w:r>
        <w:rPr>
          <w:rFonts w:hint="eastAsia" w:ascii="Times New Roman" w:hAnsi="Times New Roman" w:eastAsia="宋体" w:cs="Times New Roman"/>
          <w:b/>
          <w:bCs/>
          <w:snapToGrid w:val="0"/>
          <w:sz w:val="24"/>
          <w:szCs w:val="24"/>
          <w:lang w:bidi="ar-SA"/>
        </w:rPr>
        <w:t>术语和定义</w:t>
      </w:r>
    </w:p>
    <w:p w14:paraId="6AD37A77">
      <w:pPr>
        <w:pStyle w:val="29"/>
        <w:ind w:firstLine="482"/>
        <w:rPr>
          <w:rFonts w:ascii="Times New Roman"/>
          <w:b/>
          <w:bCs/>
          <w:snapToGrid w:val="0"/>
          <w:sz w:val="24"/>
          <w:szCs w:val="24"/>
        </w:rPr>
      </w:pPr>
      <w:r>
        <w:rPr>
          <w:rFonts w:hint="eastAsia" w:ascii="Times New Roman"/>
          <w:b/>
          <w:bCs/>
          <w:snapToGrid w:val="0"/>
          <w:sz w:val="24"/>
          <w:szCs w:val="24"/>
        </w:rPr>
        <w:t>标准文本：</w:t>
      </w:r>
    </w:p>
    <w:bookmarkEnd w:id="17"/>
    <w:bookmarkEnd w:id="18"/>
    <w:bookmarkEnd w:id="19"/>
    <w:bookmarkEnd w:id="20"/>
    <w:bookmarkEnd w:id="21"/>
    <w:p w14:paraId="517E7E5C">
      <w:pPr>
        <w:pStyle w:val="29"/>
        <w:ind w:firstLine="480"/>
        <w:rPr>
          <w:rFonts w:ascii="Times New Roman"/>
          <w:snapToGrid w:val="0"/>
          <w:sz w:val="24"/>
          <w:szCs w:val="24"/>
        </w:rPr>
      </w:pPr>
      <w:bookmarkStart w:id="22" w:name="OLE_LINK97"/>
      <w:r>
        <w:rPr>
          <w:rFonts w:hint="eastAsia" w:ascii="Times New Roman"/>
          <w:snapToGrid w:val="0"/>
          <w:sz w:val="24"/>
          <w:szCs w:val="24"/>
        </w:rPr>
        <w:t>GB/T 19477、GB/T 27643、GB/T 37061、T/CMATB 3012界定的以及下列术语和定义适用于本文件。</w:t>
      </w:r>
    </w:p>
    <w:p w14:paraId="540469AC">
      <w:pPr>
        <w:pStyle w:val="36"/>
        <w:numPr>
          <w:ilvl w:val="1"/>
          <w:numId w:val="0"/>
        </w:numPr>
        <w:spacing w:before="156" w:after="156"/>
        <w:rPr>
          <w:rFonts w:ascii="Times New Roman" w:eastAsia="宋体"/>
          <w:snapToGrid w:val="0"/>
          <w:sz w:val="24"/>
          <w:szCs w:val="24"/>
        </w:rPr>
      </w:pPr>
      <w:r>
        <w:rPr>
          <w:rFonts w:hint="eastAsia" w:ascii="Times New Roman" w:eastAsia="宋体"/>
          <w:snapToGrid w:val="0"/>
          <w:sz w:val="24"/>
          <w:szCs w:val="24"/>
        </w:rPr>
        <w:t>3.1　</w:t>
      </w:r>
    </w:p>
    <w:p w14:paraId="55C89FF9">
      <w:pPr>
        <w:pStyle w:val="36"/>
        <w:numPr>
          <w:ilvl w:val="1"/>
          <w:numId w:val="0"/>
        </w:numPr>
        <w:spacing w:before="156" w:after="156"/>
        <w:ind w:firstLine="480" w:firstLineChars="200"/>
        <w:rPr>
          <w:rFonts w:ascii="Times New Roman" w:eastAsia="宋体"/>
          <w:snapToGrid w:val="0"/>
          <w:sz w:val="24"/>
          <w:szCs w:val="24"/>
        </w:rPr>
      </w:pPr>
      <w:r>
        <w:rPr>
          <w:rFonts w:hint="eastAsia" w:ascii="Times New Roman" w:eastAsia="宋体"/>
          <w:snapToGrid w:val="0"/>
          <w:sz w:val="24"/>
          <w:szCs w:val="24"/>
        </w:rPr>
        <w:t xml:space="preserve">通辽肉牛胴体  </w:t>
      </w:r>
      <w:r>
        <w:rPr>
          <w:rFonts w:ascii="Times New Roman" w:eastAsia="宋体"/>
          <w:snapToGrid w:val="0"/>
          <w:sz w:val="24"/>
          <w:szCs w:val="24"/>
        </w:rPr>
        <w:t xml:space="preserve">Tongliao beef cattle </w:t>
      </w:r>
      <w:r>
        <w:rPr>
          <w:rFonts w:hint="eastAsia" w:ascii="Times New Roman" w:eastAsia="宋体"/>
          <w:snapToGrid w:val="0"/>
          <w:sz w:val="24"/>
          <w:szCs w:val="24"/>
        </w:rPr>
        <w:t>carcass</w:t>
      </w:r>
    </w:p>
    <w:p w14:paraId="32C4C57D">
      <w:pPr>
        <w:pStyle w:val="29"/>
        <w:ind w:firstLine="480"/>
        <w:rPr>
          <w:snapToGrid w:val="0"/>
          <w:sz w:val="24"/>
          <w:szCs w:val="24"/>
        </w:rPr>
      </w:pPr>
      <w:r>
        <w:rPr>
          <w:rFonts w:hint="eastAsia"/>
          <w:snapToGrid w:val="0"/>
          <w:sz w:val="24"/>
          <w:szCs w:val="24"/>
        </w:rPr>
        <w:t>检验检疫合格的通辽肉牛经宰杀放血后，除去头、蹄、皮、尾、内脏、肾周脂肪及生殖器（母牛去除乳房）后的躯体部分。</w:t>
      </w:r>
    </w:p>
    <w:p w14:paraId="213B9A25">
      <w:pPr>
        <w:pStyle w:val="36"/>
        <w:numPr>
          <w:ilvl w:val="1"/>
          <w:numId w:val="0"/>
        </w:numPr>
        <w:spacing w:before="156" w:after="156"/>
        <w:rPr>
          <w:rFonts w:ascii="Times New Roman" w:eastAsia="宋体"/>
          <w:snapToGrid w:val="0"/>
          <w:sz w:val="24"/>
          <w:szCs w:val="24"/>
        </w:rPr>
      </w:pPr>
      <w:r>
        <w:rPr>
          <w:rFonts w:hint="eastAsia" w:ascii="Times New Roman" w:eastAsia="宋体"/>
          <w:snapToGrid w:val="0"/>
          <w:sz w:val="24"/>
          <w:szCs w:val="24"/>
        </w:rPr>
        <w:t>3.</w:t>
      </w:r>
      <w:r>
        <w:rPr>
          <w:rFonts w:ascii="Times New Roman" w:eastAsia="宋体"/>
          <w:snapToGrid w:val="0"/>
          <w:sz w:val="24"/>
          <w:szCs w:val="24"/>
        </w:rPr>
        <w:t>2</w:t>
      </w:r>
      <w:r>
        <w:rPr>
          <w:rFonts w:hint="eastAsia" w:ascii="Times New Roman" w:eastAsia="宋体"/>
          <w:snapToGrid w:val="0"/>
          <w:sz w:val="24"/>
          <w:szCs w:val="24"/>
        </w:rPr>
        <w:t xml:space="preserve"> </w:t>
      </w:r>
    </w:p>
    <w:p w14:paraId="1F586F5A">
      <w:pPr>
        <w:pStyle w:val="36"/>
        <w:numPr>
          <w:ilvl w:val="1"/>
          <w:numId w:val="0"/>
        </w:numPr>
        <w:spacing w:before="156" w:after="156"/>
        <w:ind w:firstLine="480" w:firstLineChars="200"/>
        <w:rPr>
          <w:rFonts w:ascii="Times New Roman" w:eastAsia="宋体"/>
          <w:snapToGrid w:val="0"/>
          <w:sz w:val="24"/>
          <w:szCs w:val="24"/>
        </w:rPr>
      </w:pPr>
      <w:r>
        <w:rPr>
          <w:rFonts w:hint="eastAsia" w:ascii="Times New Roman" w:eastAsia="宋体"/>
          <w:snapToGrid w:val="0"/>
          <w:sz w:val="24"/>
          <w:szCs w:val="24"/>
        </w:rPr>
        <w:t xml:space="preserve">通辽分割牛肉  </w:t>
      </w:r>
      <w:r>
        <w:rPr>
          <w:rFonts w:ascii="Times New Roman" w:eastAsia="宋体"/>
          <w:snapToGrid w:val="0"/>
          <w:sz w:val="24"/>
          <w:szCs w:val="24"/>
        </w:rPr>
        <w:t xml:space="preserve">Tongliao beef </w:t>
      </w:r>
      <w:r>
        <w:rPr>
          <w:rFonts w:hint="eastAsia" w:ascii="Times New Roman" w:eastAsia="宋体"/>
          <w:snapToGrid w:val="0"/>
          <w:sz w:val="24"/>
          <w:szCs w:val="24"/>
        </w:rPr>
        <w:t>c</w:t>
      </w:r>
      <w:r>
        <w:rPr>
          <w:rFonts w:ascii="Times New Roman" w:eastAsia="宋体"/>
          <w:snapToGrid w:val="0"/>
          <w:sz w:val="24"/>
          <w:szCs w:val="24"/>
        </w:rPr>
        <w:t>uts</w:t>
      </w:r>
    </w:p>
    <w:p w14:paraId="74AA7965">
      <w:pPr>
        <w:pStyle w:val="29"/>
        <w:ind w:firstLine="480"/>
        <w:rPr>
          <w:snapToGrid w:val="0"/>
          <w:sz w:val="24"/>
          <w:szCs w:val="24"/>
        </w:rPr>
      </w:pPr>
      <w:r>
        <w:rPr>
          <w:rFonts w:hint="eastAsia"/>
          <w:snapToGrid w:val="0"/>
          <w:sz w:val="24"/>
          <w:szCs w:val="24"/>
        </w:rPr>
        <w:t>从通辽肉牛胴体上剥离或切割下来的部位肉，如外脊、眼肉、上脑等。</w:t>
      </w:r>
    </w:p>
    <w:p w14:paraId="4B699028">
      <w:pPr>
        <w:pStyle w:val="36"/>
        <w:numPr>
          <w:ilvl w:val="1"/>
          <w:numId w:val="0"/>
        </w:numPr>
        <w:spacing w:before="156" w:after="156"/>
        <w:rPr>
          <w:rFonts w:ascii="Times New Roman" w:eastAsia="宋体"/>
          <w:snapToGrid w:val="0"/>
          <w:sz w:val="24"/>
          <w:szCs w:val="24"/>
        </w:rPr>
      </w:pPr>
      <w:r>
        <w:rPr>
          <w:rFonts w:hint="eastAsia" w:ascii="Times New Roman" w:eastAsia="宋体"/>
          <w:snapToGrid w:val="0"/>
          <w:sz w:val="24"/>
          <w:szCs w:val="24"/>
        </w:rPr>
        <w:t>3.</w:t>
      </w:r>
      <w:r>
        <w:rPr>
          <w:rFonts w:ascii="Times New Roman" w:eastAsia="宋体"/>
          <w:snapToGrid w:val="0"/>
          <w:sz w:val="24"/>
          <w:szCs w:val="24"/>
        </w:rPr>
        <w:t>3</w:t>
      </w:r>
      <w:r>
        <w:rPr>
          <w:rFonts w:hint="eastAsia" w:ascii="Times New Roman" w:eastAsia="宋体"/>
          <w:snapToGrid w:val="0"/>
          <w:sz w:val="24"/>
          <w:szCs w:val="24"/>
        </w:rPr>
        <w:t xml:space="preserve"> </w:t>
      </w:r>
    </w:p>
    <w:p w14:paraId="5717E14B">
      <w:pPr>
        <w:pStyle w:val="36"/>
        <w:numPr>
          <w:ilvl w:val="1"/>
          <w:numId w:val="0"/>
        </w:numPr>
        <w:spacing w:before="156" w:after="156"/>
        <w:ind w:firstLine="480" w:firstLineChars="200"/>
        <w:rPr>
          <w:rFonts w:ascii="Times New Roman" w:eastAsia="宋体"/>
          <w:snapToGrid w:val="0"/>
          <w:sz w:val="24"/>
          <w:szCs w:val="24"/>
        </w:rPr>
      </w:pPr>
      <w:r>
        <w:rPr>
          <w:rFonts w:hint="eastAsia" w:ascii="Times New Roman" w:eastAsia="宋体"/>
          <w:snapToGrid w:val="0"/>
          <w:sz w:val="24"/>
          <w:szCs w:val="24"/>
        </w:rPr>
        <w:t xml:space="preserve">产量分级  </w:t>
      </w:r>
      <w:r>
        <w:rPr>
          <w:rFonts w:ascii="Times New Roman" w:eastAsia="宋体"/>
          <w:snapToGrid w:val="0"/>
          <w:sz w:val="24"/>
          <w:szCs w:val="24"/>
        </w:rPr>
        <w:t>yield grading</w:t>
      </w:r>
    </w:p>
    <w:p w14:paraId="6DB14068">
      <w:pPr>
        <w:pStyle w:val="29"/>
        <w:ind w:firstLine="480"/>
        <w:rPr>
          <w:snapToGrid w:val="0"/>
          <w:sz w:val="24"/>
          <w:szCs w:val="24"/>
        </w:rPr>
      </w:pPr>
      <w:r>
        <w:rPr>
          <w:rFonts w:hint="eastAsia"/>
          <w:snapToGrid w:val="0"/>
          <w:sz w:val="24"/>
          <w:szCs w:val="24"/>
        </w:rPr>
        <w:t>根据通辽肉牛胴体屠宰率高低对通辽肉牛胴体进行的等级划分。</w:t>
      </w:r>
    </w:p>
    <w:p w14:paraId="064D0F90">
      <w:pPr>
        <w:pStyle w:val="36"/>
        <w:numPr>
          <w:ilvl w:val="1"/>
          <w:numId w:val="0"/>
        </w:numPr>
        <w:spacing w:before="156" w:after="156"/>
        <w:rPr>
          <w:rFonts w:ascii="Times New Roman" w:eastAsia="宋体"/>
          <w:snapToGrid w:val="0"/>
          <w:sz w:val="24"/>
          <w:szCs w:val="24"/>
        </w:rPr>
      </w:pPr>
      <w:r>
        <w:rPr>
          <w:rFonts w:hint="eastAsia" w:ascii="Times New Roman" w:eastAsia="宋体"/>
          <w:snapToGrid w:val="0"/>
          <w:sz w:val="24"/>
          <w:szCs w:val="24"/>
        </w:rPr>
        <w:t>3.</w:t>
      </w:r>
      <w:r>
        <w:rPr>
          <w:rFonts w:ascii="Times New Roman" w:eastAsia="宋体"/>
          <w:snapToGrid w:val="0"/>
          <w:sz w:val="24"/>
          <w:szCs w:val="24"/>
        </w:rPr>
        <w:t>4</w:t>
      </w:r>
      <w:r>
        <w:rPr>
          <w:rFonts w:hint="eastAsia" w:ascii="Times New Roman" w:eastAsia="宋体"/>
          <w:snapToGrid w:val="0"/>
          <w:sz w:val="24"/>
          <w:szCs w:val="24"/>
        </w:rPr>
        <w:t xml:space="preserve"> </w:t>
      </w:r>
    </w:p>
    <w:p w14:paraId="1B0B10F5">
      <w:pPr>
        <w:pStyle w:val="36"/>
        <w:numPr>
          <w:ilvl w:val="1"/>
          <w:numId w:val="0"/>
        </w:numPr>
        <w:spacing w:before="156" w:after="156"/>
        <w:ind w:firstLine="480" w:firstLineChars="200"/>
        <w:rPr>
          <w:rFonts w:ascii="Times New Roman" w:eastAsia="宋体"/>
          <w:snapToGrid w:val="0"/>
          <w:sz w:val="24"/>
          <w:szCs w:val="24"/>
        </w:rPr>
      </w:pPr>
      <w:r>
        <w:rPr>
          <w:rFonts w:hint="eastAsia" w:ascii="Times New Roman" w:eastAsia="宋体"/>
          <w:snapToGrid w:val="0"/>
          <w:sz w:val="24"/>
          <w:szCs w:val="24"/>
        </w:rPr>
        <w:t xml:space="preserve">质量分级  </w:t>
      </w:r>
      <w:r>
        <w:rPr>
          <w:rFonts w:ascii="Times New Roman" w:eastAsia="宋体"/>
          <w:snapToGrid w:val="0"/>
          <w:sz w:val="24"/>
          <w:szCs w:val="24"/>
        </w:rPr>
        <w:t>quality grading</w:t>
      </w:r>
    </w:p>
    <w:p w14:paraId="45817BB7">
      <w:pPr>
        <w:pStyle w:val="29"/>
        <w:ind w:firstLine="480"/>
        <w:rPr>
          <w:snapToGrid w:val="0"/>
          <w:sz w:val="24"/>
          <w:szCs w:val="24"/>
        </w:rPr>
      </w:pPr>
      <w:r>
        <w:rPr>
          <w:rFonts w:hint="eastAsia"/>
          <w:snapToGrid w:val="0"/>
          <w:sz w:val="24"/>
          <w:szCs w:val="24"/>
        </w:rPr>
        <w:t>根据牛肉食用品质的相关指标对通辽肉牛胴体和通辽分割牛肉进行的等级划分。</w:t>
      </w:r>
    </w:p>
    <w:p w14:paraId="7BC61085">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5657C7D9">
      <w:pPr>
        <w:pStyle w:val="29"/>
        <w:ind w:firstLine="480"/>
        <w:rPr>
          <w:snapToGrid w:val="0"/>
          <w:sz w:val="24"/>
          <w:szCs w:val="24"/>
        </w:rPr>
      </w:pPr>
      <w:r>
        <w:rPr>
          <w:rFonts w:hint="eastAsia"/>
          <w:snapToGrid w:val="0"/>
          <w:sz w:val="24"/>
          <w:szCs w:val="24"/>
        </w:rPr>
        <w:t>通辽肉牛直接引用</w:t>
      </w:r>
      <w:r>
        <w:rPr>
          <w:snapToGrid w:val="0"/>
          <w:sz w:val="24"/>
          <w:szCs w:val="24"/>
        </w:rPr>
        <w:t>T/CMATB 3012的定义。GB/T 17238定</w:t>
      </w:r>
      <w:r>
        <w:rPr>
          <w:rFonts w:asciiTheme="minorEastAsia" w:hAnsiTheme="minorEastAsia" w:eastAsiaTheme="minorEastAsia"/>
          <w:snapToGrid w:val="0"/>
          <w:sz w:val="24"/>
          <w:szCs w:val="24"/>
        </w:rPr>
        <w:t>义“胴体”为“牛经宰杀放血后，除去头、蹄、皮、尾、内脏、肾周脂肪及生殖器（母牛去除乳房）后的躯体部分”</w:t>
      </w:r>
      <w:r>
        <w:rPr>
          <w:snapToGrid w:val="0"/>
          <w:sz w:val="24"/>
          <w:szCs w:val="24"/>
        </w:rPr>
        <w:t>，同时考虑《牛屠宰检疫规程》和GB 18393需对宰前牛进行检验检疫，因此，本文件对“胴体”定义进行了补充完善。</w:t>
      </w:r>
    </w:p>
    <w:p w14:paraId="29D57225">
      <w:pPr>
        <w:pStyle w:val="29"/>
        <w:ind w:firstLine="480"/>
        <w:rPr>
          <w:snapToGrid w:val="0"/>
          <w:sz w:val="24"/>
          <w:szCs w:val="24"/>
        </w:rPr>
      </w:pPr>
      <w:r>
        <w:rPr>
          <w:rFonts w:hint="eastAsia"/>
          <w:snapToGrid w:val="0"/>
          <w:sz w:val="24"/>
          <w:szCs w:val="24"/>
        </w:rPr>
        <w:t>目前，美国、日本牛胴体分级包括产量分级和质量分级。产量分级主要以产肉率或屠宰率为依据进行分级。</w:t>
      </w:r>
      <w:r>
        <w:rPr>
          <w:snapToGrid w:val="0"/>
          <w:sz w:val="24"/>
          <w:szCs w:val="24"/>
        </w:rPr>
        <w:t>GB/T 37061《畜禽肉质量分级导则》</w:t>
      </w:r>
      <w:r>
        <w:rPr>
          <w:rFonts w:asciiTheme="minorEastAsia" w:hAnsiTheme="minorEastAsia" w:eastAsiaTheme="minorEastAsia"/>
          <w:snapToGrid w:val="0"/>
          <w:sz w:val="24"/>
          <w:szCs w:val="24"/>
        </w:rPr>
        <w:t>“质量”定义为“屠宰加工后畜禽肉的感官特性和/或内在品质和/或规格特性满足要求的程度”，</w:t>
      </w:r>
      <w:r>
        <w:rPr>
          <w:snapToGrid w:val="0"/>
          <w:sz w:val="24"/>
          <w:szCs w:val="24"/>
        </w:rPr>
        <w:t>因此，质量分级是以肉的食用品质来进行分级。</w:t>
      </w:r>
    </w:p>
    <w:p w14:paraId="773598CD">
      <w:pPr>
        <w:ind w:firstLine="482"/>
        <w:jc w:val="left"/>
        <w:rPr>
          <w:rFonts w:ascii="Times New Roman" w:hAnsi="Times New Roman" w:eastAsia="宋体" w:cs="Times New Roman"/>
          <w:b/>
          <w:bCs/>
          <w:snapToGrid w:val="0"/>
          <w:sz w:val="24"/>
          <w:szCs w:val="24"/>
          <w:lang w:bidi="ar-SA"/>
        </w:rPr>
      </w:pPr>
      <w:r>
        <w:rPr>
          <w:rFonts w:ascii="Times New Roman" w:eastAsia="宋体"/>
          <w:b/>
          <w:bCs/>
          <w:snapToGrid w:val="0"/>
          <w:sz w:val="24"/>
          <w:szCs w:val="24"/>
        </w:rPr>
        <w:t>4</w:t>
      </w:r>
      <w:r>
        <w:rPr>
          <w:rFonts w:hint="eastAsia" w:ascii="Times New Roman" w:eastAsia="宋体"/>
          <w:b/>
          <w:bCs/>
          <w:snapToGrid w:val="0"/>
          <w:sz w:val="24"/>
          <w:szCs w:val="24"/>
        </w:rPr>
        <w:t xml:space="preserve"> </w:t>
      </w:r>
      <w:r>
        <w:rPr>
          <w:rFonts w:hint="eastAsia" w:ascii="Times New Roman" w:hAnsi="Times New Roman" w:eastAsia="宋体" w:cs="Times New Roman"/>
          <w:b/>
          <w:bCs/>
          <w:snapToGrid w:val="0"/>
          <w:sz w:val="24"/>
          <w:szCs w:val="24"/>
          <w:lang w:bidi="ar-SA"/>
        </w:rPr>
        <w:t>基本要求</w:t>
      </w:r>
    </w:p>
    <w:p w14:paraId="7DCAC0CD">
      <w:pPr>
        <w:pStyle w:val="29"/>
        <w:ind w:firstLine="482"/>
        <w:rPr>
          <w:rFonts w:ascii="Times New Roman"/>
          <w:b/>
          <w:bCs/>
          <w:snapToGrid w:val="0"/>
          <w:sz w:val="24"/>
          <w:szCs w:val="24"/>
        </w:rPr>
      </w:pPr>
      <w:r>
        <w:rPr>
          <w:rFonts w:hint="eastAsia" w:ascii="Times New Roman"/>
          <w:b/>
          <w:bCs/>
          <w:snapToGrid w:val="0"/>
          <w:sz w:val="24"/>
          <w:szCs w:val="24"/>
        </w:rPr>
        <w:t>标准文本：</w:t>
      </w:r>
    </w:p>
    <w:p w14:paraId="3ECAF852">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4</w:t>
      </w:r>
      <w:r>
        <w:rPr>
          <w:rFonts w:hint="eastAsia" w:ascii="Times New Roman" w:eastAsia="宋体"/>
          <w:snapToGrid w:val="0"/>
          <w:sz w:val="24"/>
          <w:szCs w:val="24"/>
        </w:rPr>
        <w:t>.1　原料来源</w:t>
      </w:r>
    </w:p>
    <w:p w14:paraId="1D5545F8">
      <w:pPr>
        <w:pStyle w:val="29"/>
        <w:ind w:firstLine="480"/>
        <w:rPr>
          <w:snapToGrid w:val="0"/>
          <w:sz w:val="24"/>
          <w:szCs w:val="24"/>
        </w:rPr>
      </w:pPr>
      <w:r>
        <w:rPr>
          <w:rFonts w:hint="eastAsia"/>
          <w:snapToGrid w:val="0"/>
          <w:sz w:val="24"/>
          <w:szCs w:val="24"/>
        </w:rPr>
        <w:t>通辽肉牛养殖应符合T/CMATB</w:t>
      </w:r>
      <w:r>
        <w:rPr>
          <w:snapToGrid w:val="0"/>
          <w:sz w:val="24"/>
          <w:szCs w:val="24"/>
        </w:rPr>
        <w:t xml:space="preserve"> XXXX</w:t>
      </w:r>
      <w:r>
        <w:rPr>
          <w:rFonts w:hint="eastAsia"/>
          <w:snapToGrid w:val="0"/>
          <w:sz w:val="24"/>
          <w:szCs w:val="24"/>
        </w:rPr>
        <w:t xml:space="preserve"> 通辽肉牛饲养管理技术规程的要求。</w:t>
      </w:r>
    </w:p>
    <w:p w14:paraId="482E4C12">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4.2</w:t>
      </w:r>
      <w:r>
        <w:rPr>
          <w:rFonts w:hint="eastAsia" w:ascii="Times New Roman" w:eastAsia="宋体"/>
          <w:snapToGrid w:val="0"/>
          <w:sz w:val="24"/>
          <w:szCs w:val="24"/>
        </w:rPr>
        <w:t>　屠宰加工要求</w:t>
      </w:r>
    </w:p>
    <w:p w14:paraId="759253BF">
      <w:pPr>
        <w:pStyle w:val="29"/>
        <w:ind w:firstLine="480"/>
        <w:rPr>
          <w:snapToGrid w:val="0"/>
          <w:sz w:val="24"/>
          <w:szCs w:val="24"/>
        </w:rPr>
      </w:pPr>
      <w:r>
        <w:rPr>
          <w:rFonts w:hint="eastAsia"/>
          <w:snapToGrid w:val="0"/>
          <w:sz w:val="24"/>
          <w:szCs w:val="24"/>
        </w:rPr>
        <w:t>屠宰加工应按T/CMATB</w:t>
      </w:r>
      <w:r>
        <w:rPr>
          <w:snapToGrid w:val="0"/>
          <w:sz w:val="24"/>
          <w:szCs w:val="24"/>
        </w:rPr>
        <w:t xml:space="preserve"> XXXX</w:t>
      </w:r>
      <w:r>
        <w:rPr>
          <w:rFonts w:hint="eastAsia"/>
          <w:snapToGrid w:val="0"/>
          <w:sz w:val="24"/>
          <w:szCs w:val="24"/>
        </w:rPr>
        <w:t xml:space="preserve"> </w:t>
      </w:r>
      <w:r>
        <w:rPr>
          <w:snapToGrid w:val="0"/>
          <w:sz w:val="24"/>
          <w:szCs w:val="24"/>
        </w:rPr>
        <w:t>通辽</w:t>
      </w:r>
      <w:r>
        <w:rPr>
          <w:rFonts w:hint="eastAsia"/>
          <w:snapToGrid w:val="0"/>
          <w:sz w:val="24"/>
          <w:szCs w:val="24"/>
        </w:rPr>
        <w:t>肉牛屠宰操作规程</w:t>
      </w:r>
      <w:r>
        <w:rPr>
          <w:snapToGrid w:val="0"/>
          <w:sz w:val="24"/>
          <w:szCs w:val="24"/>
        </w:rPr>
        <w:t>和</w:t>
      </w:r>
      <w:r>
        <w:rPr>
          <w:rFonts w:hint="eastAsia"/>
          <w:snapToGrid w:val="0"/>
          <w:sz w:val="24"/>
          <w:szCs w:val="24"/>
        </w:rPr>
        <w:t>T/CMATB</w:t>
      </w:r>
      <w:r>
        <w:rPr>
          <w:snapToGrid w:val="0"/>
          <w:sz w:val="24"/>
          <w:szCs w:val="24"/>
        </w:rPr>
        <w:t xml:space="preserve"> XXXX</w:t>
      </w:r>
      <w:r>
        <w:rPr>
          <w:rFonts w:hint="eastAsia"/>
          <w:snapToGrid w:val="0"/>
          <w:sz w:val="24"/>
          <w:szCs w:val="24"/>
        </w:rPr>
        <w:t xml:space="preserve"> </w:t>
      </w:r>
      <w:r>
        <w:rPr>
          <w:snapToGrid w:val="0"/>
          <w:sz w:val="24"/>
          <w:szCs w:val="24"/>
        </w:rPr>
        <w:t>通辽</w:t>
      </w:r>
      <w:r>
        <w:rPr>
          <w:rFonts w:hint="eastAsia"/>
          <w:snapToGrid w:val="0"/>
          <w:sz w:val="24"/>
          <w:szCs w:val="24"/>
        </w:rPr>
        <w:t>牛肉分割技术规程执行。</w:t>
      </w:r>
    </w:p>
    <w:p w14:paraId="08839838">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76E0D78D">
      <w:pPr>
        <w:pStyle w:val="9"/>
        <w:spacing w:beforeAutospacing="0" w:afterAutospacing="0"/>
        <w:ind w:firstLine="480"/>
        <w:rPr>
          <w:rFonts w:hint="default" w:asciiTheme="minorEastAsia" w:hAnsiTheme="minorEastAsia"/>
          <w:snapToGrid w:val="0"/>
          <w:szCs w:val="24"/>
        </w:rPr>
      </w:pPr>
      <w:r>
        <w:rPr>
          <w:rFonts w:asciiTheme="minorEastAsia" w:hAnsiTheme="minorEastAsia"/>
          <w:snapToGrid w:val="0"/>
          <w:szCs w:val="24"/>
        </w:rPr>
        <w:t>本部分规定了用于生产通辽牛肉的原料及屠宰加工要求，以确保通辽牛肉的来源和品质可控。其中，通辽肉牛养殖直接引用T/CMATB XXXX 通辽肉牛饲养管理技术规程；通辽肉牛的屠宰分割直接引用T/CMATB XXXX 通辽肉牛屠宰操作规程和T/CMATB XXXX 通辽牛肉分割技术规程。</w:t>
      </w:r>
    </w:p>
    <w:p w14:paraId="641C63A0">
      <w:pPr>
        <w:ind w:firstLine="482"/>
        <w:jc w:val="left"/>
        <w:rPr>
          <w:rFonts w:ascii="Times New Roman" w:hAnsi="Times New Roman" w:eastAsia="宋体" w:cs="Times New Roman"/>
          <w:b/>
          <w:bCs/>
          <w:snapToGrid w:val="0"/>
          <w:sz w:val="24"/>
          <w:szCs w:val="24"/>
          <w:lang w:bidi="ar-SA"/>
        </w:rPr>
      </w:pPr>
      <w:r>
        <w:rPr>
          <w:rFonts w:ascii="Times New Roman" w:eastAsia="宋体"/>
          <w:b/>
          <w:bCs/>
          <w:snapToGrid w:val="0"/>
          <w:sz w:val="24"/>
          <w:szCs w:val="24"/>
        </w:rPr>
        <w:t>5</w:t>
      </w:r>
      <w:r>
        <w:rPr>
          <w:rFonts w:hint="eastAsia" w:ascii="Times New Roman" w:eastAsia="宋体"/>
          <w:b/>
          <w:bCs/>
          <w:snapToGrid w:val="0"/>
          <w:sz w:val="24"/>
          <w:szCs w:val="24"/>
        </w:rPr>
        <w:t xml:space="preserve"> </w:t>
      </w:r>
      <w:r>
        <w:rPr>
          <w:rFonts w:hint="eastAsia" w:ascii="Times New Roman" w:hAnsi="Times New Roman" w:eastAsia="宋体" w:cs="Times New Roman"/>
          <w:b/>
          <w:bCs/>
          <w:snapToGrid w:val="0"/>
          <w:sz w:val="24"/>
          <w:szCs w:val="24"/>
          <w:lang w:bidi="ar-SA"/>
        </w:rPr>
        <w:t>等级</w:t>
      </w:r>
      <w:r>
        <w:rPr>
          <w:rFonts w:ascii="Times New Roman" w:hAnsi="Times New Roman" w:eastAsia="宋体" w:cs="Times New Roman"/>
          <w:b/>
          <w:bCs/>
          <w:snapToGrid w:val="0"/>
          <w:sz w:val="24"/>
          <w:szCs w:val="24"/>
          <w:lang w:bidi="ar-SA"/>
        </w:rPr>
        <w:t>划分</w:t>
      </w:r>
    </w:p>
    <w:p w14:paraId="0E4BAE5D">
      <w:pPr>
        <w:pStyle w:val="29"/>
        <w:ind w:firstLine="482"/>
        <w:rPr>
          <w:rFonts w:ascii="Times New Roman"/>
          <w:b/>
          <w:bCs/>
          <w:snapToGrid w:val="0"/>
          <w:sz w:val="24"/>
          <w:szCs w:val="24"/>
        </w:rPr>
      </w:pPr>
      <w:r>
        <w:rPr>
          <w:rFonts w:hint="eastAsia" w:ascii="Times New Roman"/>
          <w:b/>
          <w:bCs/>
          <w:snapToGrid w:val="0"/>
          <w:sz w:val="24"/>
          <w:szCs w:val="24"/>
        </w:rPr>
        <w:t>标准文本：</w:t>
      </w:r>
    </w:p>
    <w:p w14:paraId="004AAD5D">
      <w:pPr>
        <w:pStyle w:val="36"/>
        <w:numPr>
          <w:ilvl w:val="1"/>
          <w:numId w:val="0"/>
        </w:numPr>
        <w:spacing w:before="156" w:after="156"/>
        <w:rPr>
          <w:rFonts w:ascii="Times New Roman" w:eastAsia="宋体"/>
          <w:snapToGrid w:val="0"/>
          <w:sz w:val="24"/>
          <w:szCs w:val="24"/>
        </w:rPr>
      </w:pPr>
      <w:r>
        <w:rPr>
          <w:rFonts w:hint="eastAsia" w:ascii="Times New Roman" w:eastAsia="宋体"/>
          <w:snapToGrid w:val="0"/>
          <w:sz w:val="24"/>
          <w:szCs w:val="24"/>
        </w:rPr>
        <w:t>5.1　产量等级</w:t>
      </w:r>
      <w:r>
        <w:rPr>
          <w:rFonts w:ascii="Times New Roman" w:eastAsia="宋体"/>
          <w:snapToGrid w:val="0"/>
          <w:sz w:val="24"/>
          <w:szCs w:val="24"/>
        </w:rPr>
        <w:t>划分</w:t>
      </w:r>
    </w:p>
    <w:p w14:paraId="6BD42716">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根据屠宰率，将通辽肉牛胴体从高到低依次分为优级、良好级和普通级。</w:t>
      </w:r>
    </w:p>
    <w:p w14:paraId="22F97B76">
      <w:pPr>
        <w:pStyle w:val="36"/>
        <w:numPr>
          <w:ilvl w:val="1"/>
          <w:numId w:val="0"/>
        </w:numPr>
        <w:spacing w:before="156" w:after="156"/>
        <w:rPr>
          <w:rFonts w:ascii="Times New Roman" w:eastAsia="宋体"/>
          <w:snapToGrid w:val="0"/>
          <w:sz w:val="24"/>
          <w:szCs w:val="24"/>
        </w:rPr>
      </w:pPr>
      <w:r>
        <w:rPr>
          <w:rFonts w:hint="eastAsia" w:ascii="Times New Roman" w:eastAsia="宋体"/>
          <w:snapToGrid w:val="0"/>
          <w:sz w:val="24"/>
          <w:szCs w:val="24"/>
        </w:rPr>
        <w:t>5.2　质量等级划分</w:t>
      </w:r>
    </w:p>
    <w:p w14:paraId="5A44784E">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根据生理成熟度，</w:t>
      </w:r>
      <w:r>
        <w:rPr>
          <w:rFonts w:cs="宋体" w:asciiTheme="minorEastAsia" w:hAnsiTheme="minorEastAsia" w:eastAsiaTheme="minorEastAsia"/>
          <w:snapToGrid w:val="0"/>
          <w:sz w:val="24"/>
          <w:szCs w:val="24"/>
          <w:lang w:bidi="zh-TW"/>
        </w:rPr>
        <w:t>以及</w:t>
      </w:r>
      <w:r>
        <w:rPr>
          <w:rFonts w:hint="eastAsia" w:cs="宋体" w:asciiTheme="minorEastAsia" w:hAnsiTheme="minorEastAsia" w:eastAsiaTheme="minorEastAsia"/>
          <w:snapToGrid w:val="0"/>
          <w:sz w:val="24"/>
          <w:szCs w:val="24"/>
          <w:lang w:bidi="zh-TW"/>
        </w:rPr>
        <w:t>第</w:t>
      </w:r>
      <w:r>
        <w:rPr>
          <w:rFonts w:cs="宋体" w:asciiTheme="minorEastAsia" w:hAnsiTheme="minorEastAsia" w:eastAsiaTheme="minorEastAsia"/>
          <w:snapToGrid w:val="0"/>
          <w:sz w:val="24"/>
          <w:szCs w:val="24"/>
          <w:lang w:bidi="zh-TW"/>
        </w:rPr>
        <w:t>6</w:t>
      </w:r>
      <w:r>
        <w:rPr>
          <w:rFonts w:hint="eastAsia" w:cs="宋体" w:asciiTheme="minorEastAsia" w:hAnsiTheme="minorEastAsia" w:eastAsiaTheme="minorEastAsia"/>
          <w:snapToGrid w:val="0"/>
          <w:sz w:val="24"/>
          <w:szCs w:val="24"/>
          <w:lang w:bidi="zh-TW"/>
        </w:rPr>
        <w:t>肋至第7肋间</w:t>
      </w:r>
      <w:r>
        <w:rPr>
          <w:rFonts w:cs="宋体" w:asciiTheme="minorEastAsia" w:hAnsiTheme="minorEastAsia" w:eastAsiaTheme="minorEastAsia"/>
          <w:snapToGrid w:val="0"/>
          <w:sz w:val="24"/>
          <w:szCs w:val="24"/>
          <w:lang w:bidi="zh-TW"/>
        </w:rPr>
        <w:t>或</w:t>
      </w:r>
      <w:r>
        <w:rPr>
          <w:rFonts w:hint="eastAsia" w:cs="宋体" w:asciiTheme="minorEastAsia" w:hAnsiTheme="minorEastAsia" w:eastAsiaTheme="minorEastAsia"/>
          <w:snapToGrid w:val="0"/>
          <w:sz w:val="24"/>
          <w:szCs w:val="24"/>
          <w:lang w:bidi="zh-TW"/>
        </w:rPr>
        <w:t>第12肋或第13肋间背最长肌横切面肉色和脂肪颜色的等级判定，将通辽肉牛胴体和通辽分割牛肉质量从高到低依次分为A级、B级、C级和D级。</w:t>
      </w:r>
    </w:p>
    <w:p w14:paraId="4503523C">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674EC3CC">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实地调研发现，受品种限制，通辽牛肉基本无大理石花纹，按大理石花纹分级基本属于最低级、甚至等级外，因此，大理石花纹难以实现通辽牛肉的品质分级，企业生产中较少对通辽牛肉进行分级；屠宰企业更关注活牛重、胴体重、屠宰产肉率等与经济利益直接相关的指标。因此，我们选取屠宰率对通辽肉牛的牛胴体进行产量分级。</w:t>
      </w:r>
    </w:p>
    <w:p w14:paraId="1E229D77">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GB/T 37061《畜禽肉质量分级导则》“质量”定义为“屠宰加工后畜禽肉的感官特性和/或内在品质和/或规格特性满足要求的程度”；“等级”定义为“通过外在感官特性和/或内在品质和/或规格特性的判定和/或测定，对畜禽肉品质优劣的划分”。GB/T 29392《畜禽肉质量分级 牛肉》按大理石花纹、肉色、脂肪色和生理成熟度对牛胴体和分割肉（外脊、眼肉、上脑）进行分级。GB/T 29392《畜禽肉质量分级 牛肉》对分割肉按重量、肉色、脂肪等都进行分级，但随着小包装定量分割肉的市场需求不断增加，按照重量分级不再适用。因此，将生理成熟度、肉色和脂肪颜色对通辽肉牛胴体和分割肉进行分级。</w:t>
      </w:r>
    </w:p>
    <w:p w14:paraId="3CA525E0">
      <w:pPr>
        <w:ind w:firstLine="482"/>
        <w:jc w:val="left"/>
        <w:rPr>
          <w:rFonts w:ascii="Times New Roman" w:hAnsi="Times New Roman" w:eastAsia="宋体" w:cs="Times New Roman"/>
          <w:b/>
          <w:bCs/>
          <w:snapToGrid w:val="0"/>
          <w:sz w:val="24"/>
          <w:szCs w:val="24"/>
          <w:lang w:bidi="ar-SA"/>
        </w:rPr>
      </w:pPr>
      <w:r>
        <w:rPr>
          <w:rFonts w:ascii="Times New Roman" w:eastAsia="宋体"/>
          <w:b/>
          <w:bCs/>
          <w:snapToGrid w:val="0"/>
          <w:sz w:val="24"/>
          <w:szCs w:val="24"/>
        </w:rPr>
        <w:t>6</w:t>
      </w:r>
      <w:r>
        <w:rPr>
          <w:rFonts w:hint="eastAsia" w:ascii="Times New Roman" w:eastAsia="宋体"/>
          <w:b/>
          <w:bCs/>
          <w:snapToGrid w:val="0"/>
          <w:sz w:val="24"/>
          <w:szCs w:val="24"/>
        </w:rPr>
        <w:t xml:space="preserve"> </w:t>
      </w:r>
      <w:r>
        <w:rPr>
          <w:rFonts w:hint="eastAsia" w:ascii="Times New Roman" w:hAnsi="Times New Roman" w:eastAsia="宋体" w:cs="Times New Roman"/>
          <w:b/>
          <w:bCs/>
          <w:snapToGrid w:val="0"/>
          <w:sz w:val="24"/>
          <w:szCs w:val="24"/>
          <w:lang w:bidi="ar-SA"/>
        </w:rPr>
        <w:t>技术指标评定方法</w:t>
      </w:r>
    </w:p>
    <w:p w14:paraId="75FD5E23">
      <w:pPr>
        <w:pStyle w:val="29"/>
        <w:ind w:firstLine="482"/>
        <w:rPr>
          <w:rFonts w:ascii="Times New Roman"/>
          <w:b/>
          <w:bCs/>
          <w:snapToGrid w:val="0"/>
          <w:sz w:val="24"/>
          <w:szCs w:val="24"/>
        </w:rPr>
      </w:pPr>
      <w:r>
        <w:rPr>
          <w:rFonts w:hint="eastAsia" w:ascii="Times New Roman"/>
          <w:b/>
          <w:bCs/>
          <w:snapToGrid w:val="0"/>
          <w:sz w:val="24"/>
          <w:szCs w:val="24"/>
        </w:rPr>
        <w:t>标准文本：</w:t>
      </w:r>
    </w:p>
    <w:p w14:paraId="0148FFB4">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6</w:t>
      </w:r>
      <w:r>
        <w:rPr>
          <w:rFonts w:hint="eastAsia" w:ascii="Times New Roman" w:eastAsia="宋体"/>
          <w:snapToGrid w:val="0"/>
          <w:sz w:val="24"/>
          <w:szCs w:val="24"/>
        </w:rPr>
        <w:t>.</w:t>
      </w:r>
      <w:r>
        <w:rPr>
          <w:rFonts w:ascii="Times New Roman" w:eastAsia="宋体"/>
          <w:snapToGrid w:val="0"/>
          <w:sz w:val="24"/>
          <w:szCs w:val="24"/>
        </w:rPr>
        <w:t>1</w:t>
      </w:r>
      <w:r>
        <w:rPr>
          <w:rFonts w:hint="eastAsia" w:ascii="Times New Roman" w:eastAsia="宋体"/>
          <w:snapToGrid w:val="0"/>
          <w:sz w:val="24"/>
          <w:szCs w:val="24"/>
        </w:rPr>
        <w:t>　评定要求</w:t>
      </w:r>
    </w:p>
    <w:p w14:paraId="6564650B">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检验检疫合格的通辽肉牛胴体经分割暴露于空气中0.5 h后，在光照强度不低于660 lx照明的条件下进行评定。</w:t>
      </w:r>
    </w:p>
    <w:p w14:paraId="3C945AC6">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6.2</w:t>
      </w:r>
      <w:r>
        <w:rPr>
          <w:rFonts w:hint="eastAsia" w:ascii="Times New Roman" w:eastAsia="宋体"/>
          <w:snapToGrid w:val="0"/>
          <w:sz w:val="24"/>
          <w:szCs w:val="24"/>
        </w:rPr>
        <w:t>　屠宰率</w:t>
      </w:r>
    </w:p>
    <w:p w14:paraId="6DC977A3">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通过测定通辽肉牛活体重和胴体重计算屠宰率。</w:t>
      </w:r>
    </w:p>
    <w:p w14:paraId="670F0CDA">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通辽肉牛屠宰率计算公式见公式（1）。</w:t>
      </w:r>
    </w:p>
    <w:p w14:paraId="2BE7B853">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P=W</w:t>
      </w:r>
      <w:r>
        <w:rPr>
          <w:rFonts w:hint="eastAsia" w:cs="宋体" w:asciiTheme="minorEastAsia" w:hAnsiTheme="minorEastAsia" w:eastAsiaTheme="minorEastAsia"/>
          <w:snapToGrid w:val="0"/>
          <w:sz w:val="24"/>
          <w:szCs w:val="24"/>
          <w:vertAlign w:val="baseline"/>
          <w:lang w:bidi="zh-TW"/>
        </w:rPr>
        <w:t>1</w:t>
      </w:r>
      <w:r>
        <w:rPr>
          <w:rFonts w:hint="eastAsia" w:cs="宋体" w:asciiTheme="minorEastAsia" w:hAnsiTheme="minorEastAsia" w:eastAsiaTheme="minorEastAsia"/>
          <w:snapToGrid w:val="0"/>
          <w:sz w:val="24"/>
          <w:szCs w:val="24"/>
          <w:lang w:bidi="zh-TW"/>
        </w:rPr>
        <w:t>/W</w:t>
      </w:r>
      <w:r>
        <w:rPr>
          <w:rFonts w:hint="eastAsia" w:cs="宋体" w:asciiTheme="minorEastAsia" w:hAnsiTheme="minorEastAsia" w:eastAsiaTheme="minorEastAsia"/>
          <w:snapToGrid w:val="0"/>
          <w:sz w:val="24"/>
          <w:szCs w:val="24"/>
          <w:vertAlign w:val="baseline"/>
          <w:lang w:bidi="zh-TW"/>
        </w:rPr>
        <w:t>0</w:t>
      </w:r>
      <w:r>
        <w:rPr>
          <w:rFonts w:hint="eastAsia" w:cs="宋体" w:asciiTheme="minorEastAsia" w:hAnsiTheme="minorEastAsia" w:eastAsiaTheme="minorEastAsia"/>
          <w:snapToGrid w:val="0"/>
          <w:sz w:val="24"/>
          <w:szCs w:val="24"/>
          <w:lang w:bidi="zh-TW"/>
        </w:rPr>
        <w:t xml:space="preserve">                                                        （1）</w:t>
      </w:r>
    </w:p>
    <w:p w14:paraId="1B07753C">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P为通辽肉牛胴体产肉率（%）；</w:t>
      </w:r>
    </w:p>
    <w:p w14:paraId="4655B1C9">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W</w:t>
      </w:r>
      <w:r>
        <w:rPr>
          <w:rFonts w:hint="eastAsia" w:cs="宋体" w:asciiTheme="minorEastAsia" w:hAnsiTheme="minorEastAsia" w:eastAsiaTheme="minorEastAsia"/>
          <w:snapToGrid w:val="0"/>
          <w:sz w:val="24"/>
          <w:szCs w:val="24"/>
          <w:vertAlign w:val="baseline"/>
          <w:lang w:bidi="zh-TW"/>
        </w:rPr>
        <w:t>1</w:t>
      </w:r>
      <w:r>
        <w:rPr>
          <w:rFonts w:hint="eastAsia" w:cs="宋体" w:asciiTheme="minorEastAsia" w:hAnsiTheme="minorEastAsia" w:eastAsiaTheme="minorEastAsia"/>
          <w:snapToGrid w:val="0"/>
          <w:sz w:val="24"/>
          <w:szCs w:val="24"/>
          <w:lang w:bidi="zh-TW"/>
        </w:rPr>
        <w:t>为通辽肉牛胴体重；</w:t>
      </w:r>
    </w:p>
    <w:p w14:paraId="105BB271">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W</w:t>
      </w:r>
      <w:r>
        <w:rPr>
          <w:rFonts w:hint="eastAsia" w:cs="宋体" w:asciiTheme="minorEastAsia" w:hAnsiTheme="minorEastAsia" w:eastAsiaTheme="minorEastAsia"/>
          <w:snapToGrid w:val="0"/>
          <w:sz w:val="24"/>
          <w:szCs w:val="24"/>
          <w:vertAlign w:val="baseline"/>
          <w:lang w:bidi="zh-TW"/>
        </w:rPr>
        <w:t>0</w:t>
      </w:r>
      <w:r>
        <w:rPr>
          <w:rFonts w:hint="eastAsia" w:cs="宋体" w:asciiTheme="minorEastAsia" w:hAnsiTheme="minorEastAsia" w:eastAsiaTheme="minorEastAsia"/>
          <w:snapToGrid w:val="0"/>
          <w:sz w:val="24"/>
          <w:szCs w:val="24"/>
          <w:lang w:bidi="zh-TW"/>
        </w:rPr>
        <w:t>为通辽肉牛活体重。</w:t>
      </w:r>
    </w:p>
    <w:p w14:paraId="751AF5B8">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6.3</w:t>
      </w:r>
      <w:r>
        <w:rPr>
          <w:rFonts w:hint="eastAsia" w:ascii="Times New Roman" w:eastAsia="宋体"/>
          <w:snapToGrid w:val="0"/>
          <w:sz w:val="24"/>
          <w:szCs w:val="24"/>
        </w:rPr>
        <w:t>　生理成熟度</w:t>
      </w:r>
    </w:p>
    <w:p w14:paraId="0FADC844">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生理成熟度按</w:t>
      </w:r>
      <w:r>
        <w:rPr>
          <w:rFonts w:cs="宋体" w:asciiTheme="minorEastAsia" w:hAnsiTheme="minorEastAsia" w:eastAsiaTheme="minorEastAsia"/>
          <w:snapToGrid w:val="0"/>
          <w:sz w:val="24"/>
          <w:szCs w:val="24"/>
          <w:lang w:bidi="zh-TW"/>
        </w:rPr>
        <w:t>NY/T 676规定的门齿变化进行等级判定。</w:t>
      </w:r>
    </w:p>
    <w:p w14:paraId="356BE483">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6.4</w:t>
      </w:r>
      <w:r>
        <w:rPr>
          <w:rFonts w:hint="eastAsia" w:ascii="Times New Roman" w:eastAsia="宋体"/>
          <w:snapToGrid w:val="0"/>
          <w:sz w:val="24"/>
          <w:szCs w:val="24"/>
        </w:rPr>
        <w:t>　肉色</w:t>
      </w:r>
    </w:p>
    <w:p w14:paraId="3F366D12">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肉色按</w:t>
      </w:r>
      <w:r>
        <w:rPr>
          <w:rFonts w:cs="宋体" w:asciiTheme="minorEastAsia" w:hAnsiTheme="minorEastAsia" w:eastAsiaTheme="minorEastAsia"/>
          <w:snapToGrid w:val="0"/>
          <w:sz w:val="24"/>
          <w:szCs w:val="24"/>
          <w:lang w:bidi="zh-TW"/>
        </w:rPr>
        <w:t>GB/T 29391规定的方法进行等级判定。</w:t>
      </w:r>
    </w:p>
    <w:p w14:paraId="142F65C2">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6.5</w:t>
      </w:r>
      <w:r>
        <w:rPr>
          <w:rFonts w:hint="eastAsia" w:ascii="Times New Roman" w:eastAsia="宋体"/>
          <w:snapToGrid w:val="0"/>
          <w:sz w:val="24"/>
          <w:szCs w:val="24"/>
        </w:rPr>
        <w:t>　脂肪颜色</w:t>
      </w:r>
    </w:p>
    <w:p w14:paraId="62A73C17">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脂肪颜色按</w:t>
      </w:r>
      <w:r>
        <w:rPr>
          <w:rFonts w:cs="宋体" w:asciiTheme="minorEastAsia" w:hAnsiTheme="minorEastAsia" w:eastAsiaTheme="minorEastAsia"/>
          <w:snapToGrid w:val="0"/>
          <w:sz w:val="24"/>
          <w:szCs w:val="24"/>
          <w:lang w:bidi="zh-TW"/>
        </w:rPr>
        <w:t>GB/T 29391规定的方法进行等级判定。</w:t>
      </w:r>
    </w:p>
    <w:p w14:paraId="0C8677A5">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2FD443B4">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调研发现，通辽肉牛屠宰企业多采用屠宰率（胴体净重与活牛重的比值）来评价肉牛产肉情况，因此，本条规定了屠宰率的计算方法。</w:t>
      </w:r>
    </w:p>
    <w:p w14:paraId="0DF67727">
      <w:pPr>
        <w:pStyle w:val="29"/>
        <w:ind w:firstLine="480"/>
        <w:rPr>
          <w:rFonts w:cs="宋体" w:asciiTheme="minorEastAsia" w:hAnsiTheme="minorEastAsia" w:eastAsiaTheme="minorEastAsia"/>
          <w:snapToGrid w:val="0"/>
          <w:sz w:val="24"/>
          <w:szCs w:val="24"/>
          <w:lang w:bidi="zh-TW"/>
        </w:rPr>
      </w:pPr>
      <w:r>
        <w:rPr>
          <w:rFonts w:cs="宋体" w:asciiTheme="minorEastAsia" w:hAnsiTheme="minorEastAsia" w:eastAsiaTheme="minorEastAsia"/>
          <w:snapToGrid w:val="0"/>
          <w:sz w:val="24"/>
          <w:szCs w:val="24"/>
          <w:lang w:bidi="zh-TW"/>
        </w:rPr>
        <w:t>NY/T 676采用脊椎骨棘突末端软骨骨质化程度和门齿变化来判定成熟度。调研发现，通辽企业企业主要采用口齿来判定肉牛的生理成熟度或饲养周期，该方法操作简单、易操作、更易判别。因此，本文件中生理成熟度通过门齿变化来评定。肉色和脂肪颜色采标GB/T 29391。</w:t>
      </w:r>
    </w:p>
    <w:p w14:paraId="2B06F1B0">
      <w:pPr>
        <w:ind w:firstLine="482"/>
        <w:jc w:val="left"/>
        <w:rPr>
          <w:rFonts w:ascii="Times New Roman" w:hAnsi="Times New Roman" w:eastAsia="宋体" w:cs="Times New Roman"/>
          <w:b/>
          <w:bCs/>
          <w:snapToGrid w:val="0"/>
          <w:sz w:val="24"/>
          <w:szCs w:val="24"/>
          <w:lang w:bidi="ar-SA"/>
        </w:rPr>
      </w:pPr>
      <w:r>
        <w:rPr>
          <w:rFonts w:ascii="Times New Roman" w:eastAsia="宋体"/>
          <w:b/>
          <w:bCs/>
          <w:snapToGrid w:val="0"/>
          <w:sz w:val="24"/>
          <w:szCs w:val="24"/>
        </w:rPr>
        <w:t>7</w:t>
      </w:r>
      <w:r>
        <w:rPr>
          <w:rFonts w:hint="eastAsia" w:ascii="Times New Roman" w:eastAsia="宋体"/>
          <w:b/>
          <w:bCs/>
          <w:snapToGrid w:val="0"/>
          <w:sz w:val="24"/>
          <w:szCs w:val="24"/>
        </w:rPr>
        <w:t xml:space="preserve"> </w:t>
      </w:r>
      <w:r>
        <w:rPr>
          <w:rFonts w:hint="eastAsia" w:ascii="Times New Roman" w:hAnsi="Times New Roman" w:eastAsia="宋体" w:cs="Times New Roman"/>
          <w:b/>
          <w:bCs/>
          <w:snapToGrid w:val="0"/>
          <w:sz w:val="24"/>
          <w:szCs w:val="24"/>
          <w:lang w:bidi="ar-SA"/>
        </w:rPr>
        <w:t>等级评定方法</w:t>
      </w:r>
    </w:p>
    <w:p w14:paraId="67C2010A">
      <w:pPr>
        <w:pStyle w:val="29"/>
        <w:ind w:firstLine="482"/>
        <w:rPr>
          <w:rFonts w:ascii="Times New Roman"/>
          <w:b/>
          <w:bCs/>
          <w:snapToGrid w:val="0"/>
          <w:sz w:val="24"/>
          <w:szCs w:val="24"/>
        </w:rPr>
      </w:pPr>
      <w:r>
        <w:rPr>
          <w:rFonts w:hint="eastAsia" w:ascii="Times New Roman"/>
          <w:b/>
          <w:bCs/>
          <w:snapToGrid w:val="0"/>
          <w:sz w:val="24"/>
          <w:szCs w:val="24"/>
        </w:rPr>
        <w:t>标准文本：</w:t>
      </w:r>
    </w:p>
    <w:p w14:paraId="71A8AACF">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7.1</w:t>
      </w:r>
      <w:r>
        <w:rPr>
          <w:rFonts w:hint="eastAsia" w:ascii="Times New Roman" w:eastAsia="宋体"/>
          <w:snapToGrid w:val="0"/>
          <w:sz w:val="24"/>
          <w:szCs w:val="24"/>
        </w:rPr>
        <w:t>　通辽肉牛胴体的产量等级评定</w:t>
      </w:r>
    </w:p>
    <w:p w14:paraId="157DA159">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通辽肉牛胴体产量等级按照附录</w:t>
      </w:r>
      <w:r>
        <w:rPr>
          <w:rFonts w:cs="宋体" w:asciiTheme="minorEastAsia" w:hAnsiTheme="minorEastAsia" w:eastAsiaTheme="minorEastAsia"/>
          <w:snapToGrid w:val="0"/>
          <w:sz w:val="24"/>
          <w:szCs w:val="24"/>
          <w:lang w:bidi="zh-TW"/>
        </w:rPr>
        <w:t>A</w:t>
      </w:r>
      <w:r>
        <w:rPr>
          <w:rFonts w:hint="eastAsia" w:cs="宋体" w:asciiTheme="minorEastAsia" w:hAnsiTheme="minorEastAsia" w:eastAsiaTheme="minorEastAsia"/>
          <w:snapToGrid w:val="0"/>
          <w:sz w:val="24"/>
          <w:szCs w:val="24"/>
          <w:lang w:bidi="zh-TW"/>
        </w:rPr>
        <w:t>评定。</w:t>
      </w:r>
    </w:p>
    <w:p w14:paraId="20177971">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7.2</w:t>
      </w:r>
      <w:r>
        <w:rPr>
          <w:rFonts w:hint="eastAsia" w:ascii="Times New Roman" w:eastAsia="宋体"/>
          <w:snapToGrid w:val="0"/>
          <w:sz w:val="24"/>
          <w:szCs w:val="24"/>
        </w:rPr>
        <w:t>　通辽肉牛胴体和通辽分割牛肉质量等级评定</w:t>
      </w:r>
    </w:p>
    <w:p w14:paraId="50A5CF2F">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通辽肉牛胴体所产生的通辽分割牛肉质量等级规格与通辽肉牛胴体质量等级规格相同，按照附录</w:t>
      </w:r>
      <w:r>
        <w:rPr>
          <w:rFonts w:cs="宋体" w:asciiTheme="minorEastAsia" w:hAnsiTheme="minorEastAsia" w:eastAsiaTheme="minorEastAsia"/>
          <w:snapToGrid w:val="0"/>
          <w:sz w:val="24"/>
          <w:szCs w:val="24"/>
          <w:lang w:bidi="zh-TW"/>
        </w:rPr>
        <w:t>B</w:t>
      </w:r>
      <w:r>
        <w:rPr>
          <w:rFonts w:hint="eastAsia" w:cs="宋体" w:asciiTheme="minorEastAsia" w:hAnsiTheme="minorEastAsia" w:eastAsiaTheme="minorEastAsia"/>
          <w:snapToGrid w:val="0"/>
          <w:sz w:val="24"/>
          <w:szCs w:val="24"/>
          <w:lang w:bidi="zh-TW"/>
        </w:rPr>
        <w:t>评定。当生理成熟度等级为</w:t>
      </w:r>
      <w:r>
        <w:rPr>
          <w:rFonts w:cs="宋体" w:asciiTheme="minorEastAsia" w:hAnsiTheme="minorEastAsia" w:eastAsiaTheme="minorEastAsia"/>
          <w:snapToGrid w:val="0"/>
          <w:sz w:val="24"/>
          <w:szCs w:val="24"/>
          <w:lang w:bidi="zh-TW"/>
        </w:rPr>
        <w:t>A级</w:t>
      </w:r>
      <w:r>
        <w:rPr>
          <w:rFonts w:ascii="Times New Roman"/>
          <w:szCs w:val="21"/>
        </w:rPr>
        <w:t>～</w:t>
      </w:r>
      <w:r>
        <w:rPr>
          <w:rFonts w:cs="宋体" w:asciiTheme="minorEastAsia" w:hAnsiTheme="minorEastAsia" w:eastAsiaTheme="minorEastAsia"/>
          <w:snapToGrid w:val="0"/>
          <w:sz w:val="24"/>
          <w:szCs w:val="24"/>
          <w:lang w:bidi="zh-TW"/>
        </w:rPr>
        <w:t>B级、肉色等级为4级</w:t>
      </w:r>
      <w:r>
        <w:rPr>
          <w:rFonts w:ascii="Times New Roman"/>
          <w:szCs w:val="21"/>
        </w:rPr>
        <w:t>～</w:t>
      </w:r>
      <w:r>
        <w:rPr>
          <w:rFonts w:cs="宋体" w:asciiTheme="minorEastAsia" w:hAnsiTheme="minorEastAsia" w:eastAsiaTheme="minorEastAsia"/>
          <w:snapToGrid w:val="0"/>
          <w:sz w:val="24"/>
          <w:szCs w:val="24"/>
          <w:lang w:bidi="zh-TW"/>
        </w:rPr>
        <w:t>7级，脂肪颜色等级为1级</w:t>
      </w:r>
      <w:r>
        <w:rPr>
          <w:rFonts w:ascii="Times New Roman"/>
          <w:szCs w:val="21"/>
        </w:rPr>
        <w:t>～</w:t>
      </w:r>
      <w:r>
        <w:rPr>
          <w:rFonts w:cs="宋体" w:asciiTheme="minorEastAsia" w:hAnsiTheme="minorEastAsia" w:eastAsiaTheme="minorEastAsia"/>
          <w:snapToGrid w:val="0"/>
          <w:sz w:val="24"/>
          <w:szCs w:val="24"/>
          <w:lang w:bidi="zh-TW"/>
        </w:rPr>
        <w:t>4级时，通辽肉牛胴体和通辽分割牛肉质量等级最高。当生理成熟度等级为C级</w:t>
      </w:r>
      <w:r>
        <w:rPr>
          <w:rFonts w:ascii="Times New Roman"/>
          <w:szCs w:val="21"/>
        </w:rPr>
        <w:t>～</w:t>
      </w:r>
      <w:r>
        <w:rPr>
          <w:rFonts w:cs="宋体" w:asciiTheme="minorEastAsia" w:hAnsiTheme="minorEastAsia" w:eastAsiaTheme="minorEastAsia"/>
          <w:snapToGrid w:val="0"/>
          <w:sz w:val="24"/>
          <w:szCs w:val="24"/>
          <w:lang w:bidi="zh-TW"/>
        </w:rPr>
        <w:t>E级，或肉色等级为1级</w:t>
      </w:r>
      <w:r>
        <w:rPr>
          <w:rFonts w:ascii="Times New Roman"/>
          <w:szCs w:val="21"/>
        </w:rPr>
        <w:t>～</w:t>
      </w:r>
      <w:r>
        <w:rPr>
          <w:rFonts w:cs="宋体" w:asciiTheme="minorEastAsia" w:hAnsiTheme="minorEastAsia" w:eastAsiaTheme="minorEastAsia"/>
          <w:snapToGrid w:val="0"/>
          <w:sz w:val="24"/>
          <w:szCs w:val="24"/>
          <w:lang w:bidi="zh-TW"/>
        </w:rPr>
        <w:t>3级或8级，脂肪颜色等级为5级</w:t>
      </w:r>
      <w:r>
        <w:rPr>
          <w:rFonts w:ascii="Times New Roman"/>
          <w:szCs w:val="21"/>
        </w:rPr>
        <w:t>～</w:t>
      </w:r>
      <w:r>
        <w:rPr>
          <w:rFonts w:cs="宋体" w:asciiTheme="minorEastAsia" w:hAnsiTheme="minorEastAsia" w:eastAsiaTheme="minorEastAsia"/>
          <w:snapToGrid w:val="0"/>
          <w:sz w:val="24"/>
          <w:szCs w:val="24"/>
          <w:lang w:bidi="zh-TW"/>
        </w:rPr>
        <w:t>8级时，质量等级相应降低。</w:t>
      </w:r>
    </w:p>
    <w:p w14:paraId="15876E6F">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58A43E7E">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调研发现，通辽肉牛屠宰企业通常将</w:t>
      </w:r>
      <w:r>
        <w:rPr>
          <w:rFonts w:cs="宋体" w:asciiTheme="minorEastAsia" w:hAnsiTheme="minorEastAsia" w:eastAsiaTheme="minorEastAsia"/>
          <w:snapToGrid w:val="0"/>
          <w:sz w:val="24"/>
          <w:szCs w:val="24"/>
          <w:lang w:bidi="zh-TW"/>
        </w:rPr>
        <w:t>54%（屠宰率）作为评估收购肉牛质量的标准，故将以54%作为优级和良好级的评定指标；36月龄以内的通辽肉牛，其牛肉品质较高，随着年龄的增加，养殖成本增加，肉质降低</w:t>
      </w:r>
      <w:r>
        <w:rPr>
          <w:rFonts w:hint="eastAsia" w:cs="宋体" w:asciiTheme="minorEastAsia" w:hAnsiTheme="minorEastAsia" w:eastAsiaTheme="minorEastAsia"/>
          <w:snapToGrid w:val="0"/>
          <w:sz w:val="24"/>
          <w:szCs w:val="24"/>
          <w:lang w:bidi="zh-TW"/>
        </w:rPr>
        <w:t>，</w:t>
      </w:r>
      <w:r>
        <w:rPr>
          <w:rFonts w:cs="宋体" w:asciiTheme="minorEastAsia" w:hAnsiTheme="minorEastAsia" w:eastAsiaTheme="minorEastAsia"/>
          <w:snapToGrid w:val="0"/>
          <w:sz w:val="24"/>
          <w:szCs w:val="24"/>
          <w:lang w:bidi="zh-TW"/>
        </w:rPr>
        <w:t>因此</w:t>
      </w:r>
      <w:r>
        <w:rPr>
          <w:rFonts w:hint="eastAsia" w:cs="宋体" w:asciiTheme="minorEastAsia" w:hAnsiTheme="minorEastAsia" w:eastAsiaTheme="minorEastAsia"/>
          <w:snapToGrid w:val="0"/>
          <w:sz w:val="24"/>
          <w:szCs w:val="24"/>
          <w:lang w:bidi="zh-TW"/>
        </w:rPr>
        <w:t>，</w:t>
      </w:r>
      <w:r>
        <w:rPr>
          <w:rFonts w:cs="宋体" w:asciiTheme="minorEastAsia" w:hAnsiTheme="minorEastAsia" w:eastAsiaTheme="minorEastAsia"/>
          <w:snapToGrid w:val="0"/>
          <w:sz w:val="24"/>
          <w:szCs w:val="24"/>
          <w:lang w:bidi="zh-TW"/>
        </w:rPr>
        <w:t>借鉴</w:t>
      </w:r>
      <w:r>
        <w:rPr>
          <w:rFonts w:hint="eastAsia" w:cs="宋体" w:asciiTheme="minorEastAsia" w:hAnsiTheme="minorEastAsia" w:eastAsiaTheme="minorEastAsia"/>
          <w:snapToGrid w:val="0"/>
          <w:sz w:val="24"/>
          <w:szCs w:val="24"/>
          <w:lang w:bidi="zh-TW"/>
        </w:rPr>
        <w:t>GB/T</w:t>
      </w:r>
      <w:r>
        <w:rPr>
          <w:rFonts w:cs="宋体" w:asciiTheme="minorEastAsia" w:hAnsiTheme="minorEastAsia" w:eastAsiaTheme="minorEastAsia"/>
          <w:snapToGrid w:val="0"/>
          <w:sz w:val="24"/>
          <w:szCs w:val="24"/>
          <w:lang w:bidi="zh-TW"/>
        </w:rPr>
        <w:t xml:space="preserve"> 29392</w:t>
      </w:r>
      <w:r>
        <w:rPr>
          <w:rFonts w:hint="eastAsia" w:cs="宋体" w:asciiTheme="minorEastAsia" w:hAnsiTheme="minorEastAsia" w:eastAsiaTheme="minorEastAsia"/>
          <w:snapToGrid w:val="0"/>
          <w:sz w:val="24"/>
          <w:szCs w:val="24"/>
          <w:lang w:bidi="zh-TW"/>
        </w:rPr>
        <w:t>质量分级要求，</w:t>
      </w:r>
      <w:r>
        <w:rPr>
          <w:rFonts w:cs="宋体" w:asciiTheme="minorEastAsia" w:hAnsiTheme="minorEastAsia" w:eastAsiaTheme="minorEastAsia"/>
          <w:snapToGrid w:val="0"/>
          <w:sz w:val="24"/>
          <w:szCs w:val="24"/>
          <w:lang w:bidi="zh-TW"/>
        </w:rPr>
        <w:t>同时</w:t>
      </w:r>
      <w:r>
        <w:rPr>
          <w:rFonts w:hint="eastAsia" w:cs="宋体" w:asciiTheme="minorEastAsia" w:hAnsiTheme="minorEastAsia" w:eastAsiaTheme="minorEastAsia"/>
          <w:snapToGrid w:val="0"/>
          <w:sz w:val="24"/>
          <w:szCs w:val="24"/>
          <w:lang w:bidi="zh-TW"/>
        </w:rPr>
        <w:t>结合通辽肉牛收购和屠宰实际，</w:t>
      </w:r>
      <w:r>
        <w:rPr>
          <w:rFonts w:cs="宋体" w:asciiTheme="minorEastAsia" w:hAnsiTheme="minorEastAsia" w:eastAsiaTheme="minorEastAsia"/>
          <w:snapToGrid w:val="0"/>
          <w:sz w:val="24"/>
          <w:szCs w:val="24"/>
          <w:lang w:bidi="zh-TW"/>
        </w:rPr>
        <w:t>将</w:t>
      </w:r>
      <w:r>
        <w:rPr>
          <w:rFonts w:hint="eastAsia" w:cs="宋体" w:asciiTheme="minorEastAsia" w:hAnsiTheme="minorEastAsia" w:eastAsiaTheme="minorEastAsia"/>
          <w:snapToGrid w:val="0"/>
          <w:sz w:val="24"/>
          <w:szCs w:val="24"/>
          <w:lang w:bidi="zh-TW"/>
        </w:rPr>
        <w:t>36月龄以内划定为该品质牛肉相对应的肉牛生理成熟度。</w:t>
      </w:r>
    </w:p>
    <w:p w14:paraId="49512F6A">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GB/T</w:t>
      </w:r>
      <w:r>
        <w:rPr>
          <w:rFonts w:cs="宋体" w:asciiTheme="minorEastAsia" w:hAnsiTheme="minorEastAsia" w:eastAsiaTheme="minorEastAsia"/>
          <w:snapToGrid w:val="0"/>
          <w:sz w:val="24"/>
          <w:szCs w:val="24"/>
          <w:lang w:bidi="zh-TW"/>
        </w:rPr>
        <w:t xml:space="preserve"> 29392</w:t>
      </w:r>
      <w:r>
        <w:rPr>
          <w:rFonts w:hint="eastAsia" w:cs="宋体" w:asciiTheme="minorEastAsia" w:hAnsiTheme="minorEastAsia" w:eastAsiaTheme="minorEastAsia"/>
          <w:snapToGrid w:val="0"/>
          <w:sz w:val="24"/>
          <w:szCs w:val="24"/>
          <w:lang w:bidi="zh-TW"/>
        </w:rPr>
        <w:t>在对肉牛胴体进行分级时，参照了大理石花纹、生理成熟度、</w:t>
      </w:r>
      <w:r>
        <w:rPr>
          <w:rFonts w:cs="宋体" w:asciiTheme="minorEastAsia" w:hAnsiTheme="minorEastAsia" w:eastAsiaTheme="minorEastAsia"/>
          <w:snapToGrid w:val="0"/>
          <w:sz w:val="24"/>
          <w:szCs w:val="24"/>
          <w:lang w:bidi="zh-TW"/>
        </w:rPr>
        <w:t>肉色</w:t>
      </w:r>
      <w:r>
        <w:rPr>
          <w:rFonts w:hint="eastAsia" w:cs="宋体" w:asciiTheme="minorEastAsia" w:hAnsiTheme="minorEastAsia" w:eastAsiaTheme="minorEastAsia"/>
          <w:snapToGrid w:val="0"/>
          <w:sz w:val="24"/>
          <w:szCs w:val="24"/>
          <w:lang w:bidi="zh-TW"/>
        </w:rPr>
        <w:t>和脂肪颜色。考虑通辽牛肉基本无大理石花纹，因此，</w:t>
      </w:r>
      <w:r>
        <w:rPr>
          <w:rFonts w:cs="宋体" w:asciiTheme="minorEastAsia" w:hAnsiTheme="minorEastAsia" w:eastAsiaTheme="minorEastAsia"/>
          <w:snapToGrid w:val="0"/>
          <w:sz w:val="24"/>
          <w:szCs w:val="24"/>
          <w:lang w:bidi="zh-TW"/>
        </w:rPr>
        <w:t>将</w:t>
      </w:r>
      <w:r>
        <w:rPr>
          <w:rFonts w:hint="eastAsia" w:cs="宋体" w:asciiTheme="minorEastAsia" w:hAnsiTheme="minorEastAsia" w:eastAsiaTheme="minorEastAsia"/>
          <w:snapToGrid w:val="0"/>
          <w:sz w:val="24"/>
          <w:szCs w:val="24"/>
          <w:lang w:bidi="zh-TW"/>
        </w:rPr>
        <w:t>大理石花纹评级指标删除。</w:t>
      </w:r>
      <w:r>
        <w:rPr>
          <w:rFonts w:cs="宋体" w:asciiTheme="minorEastAsia" w:hAnsiTheme="minorEastAsia" w:eastAsiaTheme="minorEastAsia"/>
          <w:snapToGrid w:val="0"/>
          <w:sz w:val="24"/>
          <w:szCs w:val="24"/>
          <w:lang w:bidi="zh-TW"/>
        </w:rPr>
        <w:t>肉色过深或过浅，属于异质肉</w:t>
      </w:r>
      <w:r>
        <w:rPr>
          <w:rFonts w:hint="eastAsia" w:cs="宋体" w:asciiTheme="minorEastAsia" w:hAnsiTheme="minorEastAsia" w:eastAsiaTheme="minorEastAsia"/>
          <w:snapToGrid w:val="0"/>
          <w:sz w:val="24"/>
          <w:szCs w:val="24"/>
          <w:lang w:bidi="zh-TW"/>
        </w:rPr>
        <w:t>（PSE肉和DFD肉）</w:t>
      </w:r>
      <w:r>
        <w:rPr>
          <w:rFonts w:cs="宋体" w:asciiTheme="minorEastAsia" w:hAnsiTheme="minorEastAsia" w:eastAsiaTheme="minorEastAsia"/>
          <w:snapToGrid w:val="0"/>
          <w:sz w:val="24"/>
          <w:szCs w:val="24"/>
          <w:lang w:bidi="zh-TW"/>
        </w:rPr>
        <w:t>，</w:t>
      </w:r>
      <w:r>
        <w:rPr>
          <w:rFonts w:hint="eastAsia" w:cs="宋体" w:asciiTheme="minorEastAsia" w:hAnsiTheme="minorEastAsia" w:eastAsiaTheme="minorEastAsia"/>
          <w:snapToGrid w:val="0"/>
          <w:sz w:val="24"/>
          <w:szCs w:val="24"/>
          <w:lang w:bidi="zh-TW"/>
        </w:rPr>
        <w:t>食用品质变差。GB/T</w:t>
      </w:r>
      <w:r>
        <w:rPr>
          <w:rFonts w:cs="宋体" w:asciiTheme="minorEastAsia" w:hAnsiTheme="minorEastAsia" w:eastAsiaTheme="minorEastAsia"/>
          <w:snapToGrid w:val="0"/>
          <w:sz w:val="24"/>
          <w:szCs w:val="24"/>
          <w:lang w:bidi="zh-TW"/>
        </w:rPr>
        <w:t xml:space="preserve"> 29392</w:t>
      </w:r>
      <w:r>
        <w:rPr>
          <w:rFonts w:hint="eastAsia" w:cs="宋体" w:asciiTheme="minorEastAsia" w:hAnsiTheme="minorEastAsia" w:eastAsiaTheme="minorEastAsia"/>
          <w:snapToGrid w:val="0"/>
          <w:sz w:val="24"/>
          <w:szCs w:val="24"/>
          <w:lang w:bidi="zh-TW"/>
        </w:rPr>
        <w:t>规定，肉色等级为3</w:t>
      </w:r>
      <w:r>
        <w:rPr>
          <w:rFonts w:ascii="Times New Roman"/>
          <w:szCs w:val="21"/>
        </w:rPr>
        <w:t>～</w:t>
      </w:r>
      <w:r>
        <w:rPr>
          <w:rFonts w:cs="宋体" w:asciiTheme="minorEastAsia" w:hAnsiTheme="minorEastAsia" w:eastAsiaTheme="minorEastAsia"/>
          <w:snapToGrid w:val="0"/>
          <w:sz w:val="24"/>
          <w:szCs w:val="24"/>
          <w:lang w:bidi="zh-TW"/>
        </w:rPr>
        <w:t>7</w:t>
      </w:r>
      <w:r>
        <w:rPr>
          <w:rFonts w:hint="eastAsia" w:cs="宋体" w:asciiTheme="minorEastAsia" w:hAnsiTheme="minorEastAsia" w:eastAsiaTheme="minorEastAsia"/>
          <w:snapToGrid w:val="0"/>
          <w:sz w:val="24"/>
          <w:szCs w:val="24"/>
          <w:lang w:bidi="zh-TW"/>
        </w:rPr>
        <w:t>级时肉色较好，</w:t>
      </w:r>
      <w:r>
        <w:rPr>
          <w:rFonts w:cs="宋体" w:asciiTheme="minorEastAsia" w:hAnsiTheme="minorEastAsia" w:eastAsiaTheme="minorEastAsia"/>
          <w:snapToGrid w:val="0"/>
          <w:sz w:val="24"/>
          <w:szCs w:val="24"/>
          <w:lang w:bidi="zh-TW"/>
        </w:rPr>
        <w:t>肉色</w:t>
      </w:r>
      <w:r>
        <w:rPr>
          <w:rFonts w:hint="eastAsia" w:cs="宋体" w:asciiTheme="minorEastAsia" w:hAnsiTheme="minorEastAsia" w:eastAsiaTheme="minorEastAsia"/>
          <w:snapToGrid w:val="0"/>
          <w:sz w:val="24"/>
          <w:szCs w:val="24"/>
          <w:lang w:bidi="zh-TW"/>
        </w:rPr>
        <w:t>等级为1级、2级或8级时，</w:t>
      </w:r>
      <w:r>
        <w:rPr>
          <w:rFonts w:cs="宋体" w:asciiTheme="minorEastAsia" w:hAnsiTheme="minorEastAsia" w:eastAsiaTheme="minorEastAsia"/>
          <w:snapToGrid w:val="0"/>
          <w:sz w:val="24"/>
          <w:szCs w:val="24"/>
          <w:lang w:bidi="zh-TW"/>
        </w:rPr>
        <w:t>质量</w:t>
      </w:r>
      <w:r>
        <w:rPr>
          <w:rFonts w:hint="eastAsia" w:cs="宋体" w:asciiTheme="minorEastAsia" w:hAnsiTheme="minorEastAsia" w:eastAsiaTheme="minorEastAsia"/>
          <w:snapToGrid w:val="0"/>
          <w:sz w:val="24"/>
          <w:szCs w:val="24"/>
          <w:lang w:bidi="zh-TW"/>
        </w:rPr>
        <w:t>等级降低。调研发现，</w:t>
      </w:r>
      <w:r>
        <w:rPr>
          <w:rFonts w:cs="宋体" w:asciiTheme="minorEastAsia" w:hAnsiTheme="minorEastAsia" w:eastAsiaTheme="minorEastAsia"/>
          <w:snapToGrid w:val="0"/>
          <w:sz w:val="24"/>
          <w:szCs w:val="24"/>
          <w:lang w:bidi="zh-TW"/>
        </w:rPr>
        <w:t>通辽</w:t>
      </w:r>
      <w:r>
        <w:rPr>
          <w:rFonts w:hint="eastAsia" w:cs="宋体" w:asciiTheme="minorEastAsia" w:hAnsiTheme="minorEastAsia" w:eastAsiaTheme="minorEastAsia"/>
          <w:snapToGrid w:val="0"/>
          <w:sz w:val="24"/>
          <w:szCs w:val="24"/>
          <w:lang w:bidi="zh-TW"/>
        </w:rPr>
        <w:t>牛肉的肉色基本在4级</w:t>
      </w:r>
      <w:r>
        <w:rPr>
          <w:rFonts w:ascii="Times New Roman"/>
          <w:szCs w:val="21"/>
        </w:rPr>
        <w:t>～</w:t>
      </w:r>
      <w:r>
        <w:rPr>
          <w:rFonts w:cs="宋体" w:asciiTheme="minorEastAsia" w:hAnsiTheme="minorEastAsia" w:eastAsiaTheme="minorEastAsia"/>
          <w:snapToGrid w:val="0"/>
          <w:sz w:val="24"/>
          <w:szCs w:val="24"/>
          <w:lang w:bidi="zh-TW"/>
        </w:rPr>
        <w:t>7</w:t>
      </w:r>
      <w:r>
        <w:rPr>
          <w:rFonts w:hint="eastAsia" w:cs="宋体" w:asciiTheme="minorEastAsia" w:hAnsiTheme="minorEastAsia" w:eastAsiaTheme="minorEastAsia"/>
          <w:snapToGrid w:val="0"/>
          <w:sz w:val="24"/>
          <w:szCs w:val="24"/>
          <w:lang w:bidi="zh-TW"/>
        </w:rPr>
        <w:t>级分布，1</w:t>
      </w:r>
      <w:r>
        <w:rPr>
          <w:rFonts w:ascii="Times New Roman"/>
          <w:szCs w:val="21"/>
        </w:rPr>
        <w:t>～</w:t>
      </w:r>
      <w:r>
        <w:rPr>
          <w:rFonts w:cs="宋体" w:asciiTheme="minorEastAsia" w:hAnsiTheme="minorEastAsia" w:eastAsiaTheme="minorEastAsia"/>
          <w:snapToGrid w:val="0"/>
          <w:sz w:val="24"/>
          <w:szCs w:val="24"/>
          <w:lang w:bidi="zh-TW"/>
        </w:rPr>
        <w:t>3</w:t>
      </w:r>
      <w:r>
        <w:rPr>
          <w:rFonts w:hint="eastAsia" w:cs="宋体" w:asciiTheme="minorEastAsia" w:hAnsiTheme="minorEastAsia" w:eastAsiaTheme="minorEastAsia"/>
          <w:snapToGrid w:val="0"/>
          <w:sz w:val="24"/>
          <w:szCs w:val="24"/>
          <w:lang w:bidi="zh-TW"/>
        </w:rPr>
        <w:t>级肉色过浅，</w:t>
      </w:r>
      <w:r>
        <w:rPr>
          <w:rFonts w:cs="宋体" w:asciiTheme="minorEastAsia" w:hAnsiTheme="minorEastAsia" w:eastAsiaTheme="minorEastAsia"/>
          <w:snapToGrid w:val="0"/>
          <w:sz w:val="24"/>
          <w:szCs w:val="24"/>
          <w:lang w:bidi="zh-TW"/>
        </w:rPr>
        <w:t>判定</w:t>
      </w:r>
      <w:r>
        <w:rPr>
          <w:rFonts w:hint="eastAsia" w:cs="宋体" w:asciiTheme="minorEastAsia" w:hAnsiTheme="minorEastAsia" w:eastAsiaTheme="minorEastAsia"/>
          <w:snapToGrid w:val="0"/>
          <w:sz w:val="24"/>
          <w:szCs w:val="24"/>
          <w:lang w:bidi="zh-TW"/>
        </w:rPr>
        <w:t>为PSE肉，8级颜色过深，判定为DFD肉。</w:t>
      </w:r>
      <w:r>
        <w:rPr>
          <w:rFonts w:cs="宋体" w:asciiTheme="minorEastAsia" w:hAnsiTheme="minorEastAsia" w:eastAsiaTheme="minorEastAsia"/>
          <w:snapToGrid w:val="0"/>
          <w:sz w:val="24"/>
          <w:szCs w:val="24"/>
          <w:lang w:bidi="zh-TW"/>
        </w:rPr>
        <w:t>因此，按生理成熟度、脂肪色和肉色对通辽肉牛胴体和通辽分割牛肉进行</w:t>
      </w:r>
      <w:r>
        <w:rPr>
          <w:rFonts w:hint="eastAsia" w:cs="宋体" w:asciiTheme="minorEastAsia" w:hAnsiTheme="minorEastAsia" w:eastAsiaTheme="minorEastAsia"/>
          <w:snapToGrid w:val="0"/>
          <w:sz w:val="24"/>
          <w:szCs w:val="24"/>
          <w:lang w:bidi="zh-TW"/>
        </w:rPr>
        <w:t>分级，</w:t>
      </w:r>
      <w:r>
        <w:rPr>
          <w:rFonts w:cs="宋体" w:asciiTheme="minorEastAsia" w:hAnsiTheme="minorEastAsia" w:eastAsiaTheme="minorEastAsia"/>
          <w:snapToGrid w:val="0"/>
          <w:sz w:val="24"/>
          <w:szCs w:val="24"/>
          <w:lang w:bidi="zh-TW"/>
        </w:rPr>
        <w:t>其中</w:t>
      </w:r>
      <w:r>
        <w:rPr>
          <w:rFonts w:hint="eastAsia" w:cs="宋体" w:asciiTheme="minorEastAsia" w:hAnsiTheme="minorEastAsia" w:eastAsiaTheme="minorEastAsia"/>
          <w:snapToGrid w:val="0"/>
          <w:sz w:val="24"/>
          <w:szCs w:val="24"/>
          <w:lang w:bidi="zh-TW"/>
        </w:rPr>
        <w:t>生理成熟度等级评定参照NY/T</w:t>
      </w:r>
      <w:r>
        <w:rPr>
          <w:rFonts w:cs="宋体" w:asciiTheme="minorEastAsia" w:hAnsiTheme="minorEastAsia" w:eastAsiaTheme="minorEastAsia"/>
          <w:snapToGrid w:val="0"/>
          <w:sz w:val="24"/>
          <w:szCs w:val="24"/>
          <w:lang w:bidi="zh-TW"/>
        </w:rPr>
        <w:t xml:space="preserve"> 676</w:t>
      </w:r>
      <w:r>
        <w:rPr>
          <w:rFonts w:hint="eastAsia" w:cs="宋体" w:asciiTheme="minorEastAsia" w:hAnsiTheme="minorEastAsia" w:eastAsiaTheme="minorEastAsia"/>
          <w:snapToGrid w:val="0"/>
          <w:sz w:val="24"/>
          <w:szCs w:val="24"/>
          <w:lang w:bidi="zh-TW"/>
        </w:rPr>
        <w:t>进行，</w:t>
      </w:r>
      <w:r>
        <w:rPr>
          <w:rFonts w:cs="宋体" w:asciiTheme="minorEastAsia" w:hAnsiTheme="minorEastAsia" w:eastAsiaTheme="minorEastAsia"/>
          <w:snapToGrid w:val="0"/>
          <w:sz w:val="24"/>
          <w:szCs w:val="24"/>
          <w:lang w:bidi="zh-TW"/>
        </w:rPr>
        <w:t>脂肪</w:t>
      </w:r>
      <w:r>
        <w:rPr>
          <w:rFonts w:hint="eastAsia" w:cs="宋体" w:asciiTheme="minorEastAsia" w:hAnsiTheme="minorEastAsia" w:eastAsiaTheme="minorEastAsia"/>
          <w:snapToGrid w:val="0"/>
          <w:sz w:val="24"/>
          <w:szCs w:val="24"/>
          <w:lang w:bidi="zh-TW"/>
        </w:rPr>
        <w:t>颜色参照GB/T</w:t>
      </w:r>
      <w:r>
        <w:rPr>
          <w:rFonts w:cs="宋体" w:asciiTheme="minorEastAsia" w:hAnsiTheme="minorEastAsia" w:eastAsiaTheme="minorEastAsia"/>
          <w:snapToGrid w:val="0"/>
          <w:sz w:val="24"/>
          <w:szCs w:val="24"/>
          <w:lang w:bidi="zh-TW"/>
        </w:rPr>
        <w:t xml:space="preserve"> 29392</w:t>
      </w:r>
      <w:r>
        <w:rPr>
          <w:rFonts w:hint="eastAsia" w:cs="宋体" w:asciiTheme="minorEastAsia" w:hAnsiTheme="minorEastAsia" w:eastAsiaTheme="minorEastAsia"/>
          <w:snapToGrid w:val="0"/>
          <w:sz w:val="24"/>
          <w:szCs w:val="24"/>
          <w:lang w:bidi="zh-TW"/>
        </w:rPr>
        <w:t>执行，</w:t>
      </w:r>
      <w:r>
        <w:rPr>
          <w:rFonts w:cs="宋体" w:asciiTheme="minorEastAsia" w:hAnsiTheme="minorEastAsia" w:eastAsiaTheme="minorEastAsia"/>
          <w:snapToGrid w:val="0"/>
          <w:sz w:val="24"/>
          <w:szCs w:val="24"/>
          <w:lang w:bidi="zh-TW"/>
        </w:rPr>
        <w:t>肉色</w:t>
      </w:r>
      <w:r>
        <w:rPr>
          <w:rFonts w:hint="eastAsia" w:cs="宋体" w:asciiTheme="minorEastAsia" w:hAnsiTheme="minorEastAsia" w:eastAsiaTheme="minorEastAsia"/>
          <w:snapToGrid w:val="0"/>
          <w:sz w:val="24"/>
          <w:szCs w:val="24"/>
          <w:lang w:bidi="zh-TW"/>
        </w:rPr>
        <w:t>等级评定标准进行了调整。</w:t>
      </w:r>
    </w:p>
    <w:p w14:paraId="0F97A6E3">
      <w:pPr>
        <w:ind w:firstLine="482"/>
        <w:jc w:val="left"/>
        <w:rPr>
          <w:rFonts w:ascii="Times New Roman" w:hAnsi="Times New Roman" w:eastAsia="宋体" w:cs="Times New Roman"/>
          <w:b/>
          <w:bCs/>
          <w:snapToGrid w:val="0"/>
          <w:sz w:val="24"/>
          <w:szCs w:val="24"/>
          <w:lang w:bidi="ar-SA"/>
        </w:rPr>
      </w:pPr>
      <w:r>
        <w:rPr>
          <w:rFonts w:ascii="Times New Roman" w:eastAsia="宋体"/>
          <w:b/>
          <w:bCs/>
          <w:snapToGrid w:val="0"/>
          <w:sz w:val="24"/>
          <w:szCs w:val="24"/>
        </w:rPr>
        <w:t>8</w:t>
      </w:r>
      <w:r>
        <w:rPr>
          <w:rFonts w:hint="eastAsia" w:ascii="Times New Roman" w:eastAsia="宋体"/>
          <w:b/>
          <w:bCs/>
          <w:snapToGrid w:val="0"/>
          <w:sz w:val="24"/>
          <w:szCs w:val="24"/>
        </w:rPr>
        <w:t xml:space="preserve"> </w:t>
      </w:r>
      <w:r>
        <w:rPr>
          <w:rFonts w:hint="eastAsia" w:ascii="Times New Roman" w:hAnsi="Times New Roman" w:eastAsia="宋体" w:cs="Times New Roman"/>
          <w:b/>
          <w:bCs/>
          <w:snapToGrid w:val="0"/>
          <w:sz w:val="24"/>
          <w:szCs w:val="24"/>
          <w:lang w:bidi="ar-SA"/>
        </w:rPr>
        <w:t>标志、</w:t>
      </w:r>
      <w:r>
        <w:rPr>
          <w:rFonts w:ascii="Times New Roman" w:hAnsi="Times New Roman" w:eastAsia="宋体" w:cs="Times New Roman"/>
          <w:b/>
          <w:bCs/>
          <w:snapToGrid w:val="0"/>
          <w:sz w:val="24"/>
          <w:szCs w:val="24"/>
          <w:lang w:bidi="ar-SA"/>
        </w:rPr>
        <w:t>包装</w:t>
      </w:r>
      <w:r>
        <w:rPr>
          <w:rFonts w:hint="eastAsia" w:ascii="Times New Roman" w:hAnsi="Times New Roman" w:eastAsia="宋体" w:cs="Times New Roman"/>
          <w:b/>
          <w:bCs/>
          <w:snapToGrid w:val="0"/>
          <w:sz w:val="24"/>
          <w:szCs w:val="24"/>
          <w:lang w:bidi="ar-SA"/>
        </w:rPr>
        <w:t>和记录</w:t>
      </w:r>
    </w:p>
    <w:p w14:paraId="4096C1B6">
      <w:pPr>
        <w:pStyle w:val="29"/>
        <w:ind w:firstLine="482"/>
        <w:rPr>
          <w:rFonts w:ascii="Times New Roman"/>
          <w:b/>
          <w:bCs/>
          <w:snapToGrid w:val="0"/>
          <w:sz w:val="24"/>
          <w:szCs w:val="24"/>
        </w:rPr>
      </w:pPr>
      <w:r>
        <w:rPr>
          <w:rFonts w:hint="eastAsia" w:ascii="Times New Roman"/>
          <w:b/>
          <w:bCs/>
          <w:snapToGrid w:val="0"/>
          <w:sz w:val="24"/>
          <w:szCs w:val="24"/>
        </w:rPr>
        <w:t>标准文本：</w:t>
      </w:r>
    </w:p>
    <w:p w14:paraId="7FA4088C">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8.1</w:t>
      </w:r>
      <w:r>
        <w:rPr>
          <w:rFonts w:hint="eastAsia" w:ascii="Times New Roman" w:eastAsia="宋体"/>
          <w:snapToGrid w:val="0"/>
          <w:sz w:val="24"/>
          <w:szCs w:val="24"/>
        </w:rPr>
        <w:t>　通辽肉牛胴体产量等级和质量等级、通辽分割牛肉质量等级的具体标志见附录</w:t>
      </w:r>
      <w:r>
        <w:rPr>
          <w:rFonts w:ascii="Times New Roman" w:eastAsia="宋体"/>
          <w:snapToGrid w:val="0"/>
          <w:sz w:val="24"/>
          <w:szCs w:val="24"/>
        </w:rPr>
        <w:t>C</w:t>
      </w:r>
      <w:r>
        <w:rPr>
          <w:rFonts w:hint="eastAsia" w:ascii="Times New Roman" w:eastAsia="宋体"/>
          <w:snapToGrid w:val="0"/>
          <w:sz w:val="24"/>
          <w:szCs w:val="24"/>
        </w:rPr>
        <w:t>。</w:t>
      </w:r>
    </w:p>
    <w:p w14:paraId="7238A602">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8.2</w:t>
      </w:r>
      <w:r>
        <w:rPr>
          <w:rFonts w:hint="eastAsia" w:ascii="Times New Roman" w:eastAsia="宋体"/>
          <w:snapToGrid w:val="0"/>
          <w:sz w:val="24"/>
          <w:szCs w:val="24"/>
        </w:rPr>
        <w:t>　通辽肉牛胴体和通辽分割牛肉内外包装应标明相应的产品等级。包装标识应符合</w:t>
      </w:r>
      <w:r>
        <w:rPr>
          <w:rFonts w:ascii="Times New Roman" w:eastAsia="宋体"/>
          <w:snapToGrid w:val="0"/>
          <w:sz w:val="24"/>
          <w:szCs w:val="24"/>
        </w:rPr>
        <w:t>NY/T 3383的规定</w:t>
      </w:r>
      <w:r>
        <w:rPr>
          <w:rFonts w:hint="eastAsia" w:ascii="Times New Roman" w:eastAsia="宋体"/>
          <w:snapToGrid w:val="0"/>
          <w:sz w:val="24"/>
          <w:szCs w:val="24"/>
        </w:rPr>
        <w:t>，运输包装标志应符合GB/T 191和GB</w:t>
      </w:r>
      <w:r>
        <w:rPr>
          <w:rFonts w:ascii="Times New Roman" w:eastAsia="宋体"/>
          <w:snapToGrid w:val="0"/>
          <w:sz w:val="24"/>
          <w:szCs w:val="24"/>
        </w:rPr>
        <w:t>/T 6388</w:t>
      </w:r>
      <w:r>
        <w:rPr>
          <w:rFonts w:hint="eastAsia" w:ascii="Times New Roman" w:eastAsia="宋体"/>
          <w:snapToGrid w:val="0"/>
          <w:sz w:val="24"/>
          <w:szCs w:val="24"/>
        </w:rPr>
        <w:t>的规定。</w:t>
      </w:r>
    </w:p>
    <w:p w14:paraId="64501D47">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8.3</w:t>
      </w:r>
      <w:r>
        <w:rPr>
          <w:rFonts w:hint="eastAsia" w:ascii="Times New Roman" w:eastAsia="宋体"/>
          <w:snapToGrid w:val="0"/>
          <w:sz w:val="24"/>
          <w:szCs w:val="24"/>
        </w:rPr>
        <w:t>　包装上有关认证标志和商标等的印刷、加贴应符合有关法规及标准要求。</w:t>
      </w:r>
    </w:p>
    <w:p w14:paraId="0F381FA6">
      <w:pPr>
        <w:pStyle w:val="36"/>
        <w:numPr>
          <w:ilvl w:val="1"/>
          <w:numId w:val="0"/>
        </w:numPr>
        <w:spacing w:before="156" w:after="156"/>
        <w:rPr>
          <w:rFonts w:ascii="Times New Roman" w:eastAsia="宋体"/>
          <w:snapToGrid w:val="0"/>
          <w:sz w:val="24"/>
          <w:szCs w:val="24"/>
        </w:rPr>
      </w:pPr>
      <w:r>
        <w:rPr>
          <w:rFonts w:ascii="Times New Roman" w:eastAsia="宋体"/>
          <w:snapToGrid w:val="0"/>
          <w:sz w:val="24"/>
          <w:szCs w:val="24"/>
        </w:rPr>
        <w:t>8.4</w:t>
      </w:r>
      <w:r>
        <w:rPr>
          <w:rFonts w:hint="eastAsia" w:ascii="Times New Roman" w:eastAsia="宋体"/>
          <w:snapToGrid w:val="0"/>
          <w:sz w:val="24"/>
          <w:szCs w:val="24"/>
        </w:rPr>
        <w:t>　应清晰地记录产品分级信息。</w:t>
      </w:r>
    </w:p>
    <w:p w14:paraId="7E7587B9">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2D8C142E">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本条规定了产品标志、</w:t>
      </w:r>
      <w:r>
        <w:rPr>
          <w:rFonts w:cs="宋体" w:asciiTheme="minorEastAsia" w:hAnsiTheme="minorEastAsia" w:eastAsiaTheme="minorEastAsia"/>
          <w:snapToGrid w:val="0"/>
          <w:sz w:val="24"/>
          <w:szCs w:val="24"/>
          <w:lang w:bidi="zh-TW"/>
        </w:rPr>
        <w:t>包装</w:t>
      </w:r>
      <w:r>
        <w:rPr>
          <w:rFonts w:hint="eastAsia" w:cs="宋体" w:asciiTheme="minorEastAsia" w:hAnsiTheme="minorEastAsia" w:eastAsiaTheme="minorEastAsia"/>
          <w:snapToGrid w:val="0"/>
          <w:sz w:val="24"/>
          <w:szCs w:val="24"/>
          <w:lang w:bidi="zh-TW"/>
        </w:rPr>
        <w:t>和记录的要求。</w:t>
      </w:r>
    </w:p>
    <w:p w14:paraId="031B02CB">
      <w:pPr>
        <w:pStyle w:val="29"/>
        <w:ind w:firstLine="482"/>
        <w:rPr>
          <w:rFonts w:ascii="Times New Roman"/>
          <w:b/>
          <w:bCs/>
          <w:snapToGrid w:val="0"/>
          <w:sz w:val="24"/>
          <w:szCs w:val="24"/>
        </w:rPr>
      </w:pPr>
      <w:r>
        <w:rPr>
          <w:rFonts w:hint="eastAsia" w:ascii="Times New Roman"/>
          <w:b/>
          <w:bCs/>
          <w:snapToGrid w:val="0"/>
          <w:sz w:val="24"/>
          <w:szCs w:val="24"/>
        </w:rPr>
        <w:t>标准文本：</w:t>
      </w:r>
    </w:p>
    <w:p w14:paraId="18B03AF3">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附录</w:t>
      </w:r>
      <w:r>
        <w:rPr>
          <w:rFonts w:cs="宋体" w:asciiTheme="minorEastAsia" w:hAnsiTheme="minorEastAsia" w:eastAsiaTheme="minorEastAsia"/>
          <w:snapToGrid w:val="0"/>
          <w:sz w:val="24"/>
          <w:szCs w:val="24"/>
          <w:lang w:bidi="zh-TW"/>
        </w:rPr>
        <w:t>A 通辽肉牛胴体产量等级划分标准。</w:t>
      </w:r>
    </w:p>
    <w:p w14:paraId="4F61A1C5">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5DBE6BF5">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结合企业调研及应用实际，结合屠宰率，列出了通辽肉牛胴体产量等级划分方法。</w:t>
      </w:r>
    </w:p>
    <w:p w14:paraId="75EB3BBC">
      <w:pPr>
        <w:pStyle w:val="29"/>
        <w:ind w:firstLine="482"/>
        <w:rPr>
          <w:rFonts w:ascii="Times New Roman"/>
          <w:b/>
          <w:bCs/>
          <w:snapToGrid w:val="0"/>
          <w:sz w:val="24"/>
          <w:szCs w:val="24"/>
        </w:rPr>
      </w:pPr>
      <w:r>
        <w:rPr>
          <w:rFonts w:hint="eastAsia" w:ascii="Times New Roman"/>
          <w:b/>
          <w:bCs/>
          <w:snapToGrid w:val="0"/>
          <w:sz w:val="24"/>
          <w:szCs w:val="24"/>
        </w:rPr>
        <w:t>标准文本：</w:t>
      </w:r>
    </w:p>
    <w:p w14:paraId="28861906">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附录</w:t>
      </w:r>
      <w:r>
        <w:rPr>
          <w:rFonts w:cs="宋体" w:asciiTheme="minorEastAsia" w:hAnsiTheme="minorEastAsia" w:eastAsiaTheme="minorEastAsia"/>
          <w:snapToGrid w:val="0"/>
          <w:sz w:val="24"/>
          <w:szCs w:val="24"/>
          <w:lang w:bidi="zh-TW"/>
        </w:rPr>
        <w:t>B 通辽肉牛胴体及通辽分割牛肉质量等级划分方法。</w:t>
      </w:r>
    </w:p>
    <w:p w14:paraId="7626760D">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58B9D567">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结合生理成熟度、肉色和脂肪颜色，列出了通辽肉牛胴体和通辽分割牛肉质量等级划分方法。</w:t>
      </w:r>
    </w:p>
    <w:p w14:paraId="261E2857">
      <w:pPr>
        <w:pStyle w:val="29"/>
        <w:ind w:firstLine="482"/>
        <w:rPr>
          <w:rFonts w:ascii="Times New Roman"/>
          <w:b/>
          <w:bCs/>
          <w:snapToGrid w:val="0"/>
          <w:sz w:val="24"/>
          <w:szCs w:val="24"/>
        </w:rPr>
      </w:pPr>
      <w:r>
        <w:rPr>
          <w:rFonts w:hint="eastAsia" w:ascii="Times New Roman"/>
          <w:b/>
          <w:bCs/>
          <w:snapToGrid w:val="0"/>
          <w:sz w:val="24"/>
          <w:szCs w:val="24"/>
        </w:rPr>
        <w:t>标准文本：</w:t>
      </w:r>
    </w:p>
    <w:p w14:paraId="65502456">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附录</w:t>
      </w:r>
      <w:r>
        <w:rPr>
          <w:rFonts w:cs="宋体" w:asciiTheme="minorEastAsia" w:hAnsiTheme="minorEastAsia" w:eastAsiaTheme="minorEastAsia"/>
          <w:snapToGrid w:val="0"/>
          <w:sz w:val="24"/>
          <w:szCs w:val="24"/>
          <w:lang w:bidi="zh-TW"/>
        </w:rPr>
        <w:t>C 通辽肉牛胴体和通辽分割牛肉质量等级标志。</w:t>
      </w:r>
    </w:p>
    <w:p w14:paraId="19856EA7">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14:paraId="5E67E81C">
      <w:pPr>
        <w:pStyle w:val="29"/>
        <w:ind w:firstLine="480"/>
        <w:rPr>
          <w:rFonts w:cs="宋体" w:asciiTheme="minorEastAsia" w:hAnsiTheme="minorEastAsia" w:eastAsiaTheme="minorEastAsia"/>
          <w:snapToGrid w:val="0"/>
          <w:sz w:val="24"/>
          <w:szCs w:val="24"/>
          <w:lang w:bidi="zh-TW"/>
        </w:rPr>
      </w:pPr>
      <w:r>
        <w:rPr>
          <w:rFonts w:hint="eastAsia" w:cs="宋体" w:asciiTheme="minorEastAsia" w:hAnsiTheme="minorEastAsia" w:eastAsiaTheme="minorEastAsia"/>
          <w:snapToGrid w:val="0"/>
          <w:sz w:val="24"/>
          <w:szCs w:val="24"/>
          <w:lang w:bidi="zh-TW"/>
        </w:rPr>
        <w:t>规定了通辽肉牛胴体和通辽分割牛肉等级标志的形式。</w:t>
      </w:r>
    </w:p>
    <w:bookmarkEnd w:id="22"/>
    <w:p w14:paraId="02300122">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三、主要试验（或验证）的分析、综述报告，技术经济论证，预期的经济效果</w:t>
      </w:r>
    </w:p>
    <w:p w14:paraId="3E377346">
      <w:pPr>
        <w:spacing w:line="500" w:lineRule="exact"/>
        <w:ind w:firstLine="480"/>
        <w:rPr>
          <w:sz w:val="24"/>
          <w:szCs w:val="24"/>
        </w:rPr>
      </w:pPr>
      <w:r>
        <w:rPr>
          <w:rFonts w:hint="eastAsia"/>
          <w:sz w:val="24"/>
          <w:szCs w:val="24"/>
        </w:rPr>
        <w:t>通辽市地处世界肉牛养殖黄金带，享有中国草原肉牛之都的美誉，肉牛养殖量达到</w:t>
      </w:r>
      <w:r>
        <w:rPr>
          <w:sz w:val="24"/>
          <w:szCs w:val="24"/>
        </w:rPr>
        <w:t>520万头，是供港活牛重要基地，通辽牛肉具有独特的品质特征和风味物质，牛肉及深加工产品遍布北上广深、中东及东南亚国家和地区，是中国本土牛肉的主要生产区域。本标准的实施将更加体现通辽牛肉的特色品质和优质优价，为进一步提高通辽牛肉的新质生产力，精准构建高科技、高效能、高质量的肉牛全产业链，打造牛肉产品新标杆，提升通辽牛肉品牌价值，推动通辽牛肉更好地走向全国、迈向世界提供标准技术支撑。</w:t>
      </w:r>
    </w:p>
    <w:p w14:paraId="0C204F04">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四、采用国际标准和国外先进标准的程度</w:t>
      </w:r>
    </w:p>
    <w:p w14:paraId="26590B9B">
      <w:pPr>
        <w:spacing w:line="500" w:lineRule="exact"/>
        <w:ind w:firstLine="480"/>
        <w:rPr>
          <w:sz w:val="24"/>
          <w:szCs w:val="24"/>
        </w:rPr>
      </w:pPr>
      <w:r>
        <w:rPr>
          <w:sz w:val="24"/>
          <w:szCs w:val="24"/>
        </w:rPr>
        <w:t>无。</w:t>
      </w:r>
    </w:p>
    <w:p w14:paraId="12049D16">
      <w:pPr>
        <w:pStyle w:val="2"/>
        <w:keepNext w:val="0"/>
        <w:keepLines w:val="0"/>
        <w:widowControl w:val="0"/>
        <w:adjustRightInd/>
        <w:snapToGrid/>
        <w:ind w:firstLine="560"/>
        <w:rPr>
          <w:rFonts w:ascii="Times New Roman" w:hAnsi="Times New Roman" w:cs="Times New Roman"/>
          <w:b w:val="0"/>
          <w:bCs/>
          <w:szCs w:val="44"/>
          <w:lang w:bidi="ar-SA"/>
        </w:rPr>
      </w:pPr>
      <w:bookmarkStart w:id="23" w:name="OLE_LINK130"/>
      <w:r>
        <w:rPr>
          <w:rFonts w:hint="eastAsia" w:ascii="Times New Roman" w:hAnsi="Times New Roman" w:cs="Times New Roman"/>
          <w:b w:val="0"/>
          <w:bCs/>
          <w:szCs w:val="44"/>
          <w:lang w:bidi="ar-SA"/>
        </w:rPr>
        <w:t>五、与现行的法律法规和强制性国家标准的关系</w:t>
      </w:r>
    </w:p>
    <w:bookmarkEnd w:id="23"/>
    <w:p w14:paraId="18CF282F">
      <w:pPr>
        <w:pStyle w:val="29"/>
        <w:ind w:firstLine="480"/>
        <w:rPr>
          <w:snapToGrid w:val="0"/>
          <w:sz w:val="24"/>
          <w:szCs w:val="24"/>
        </w:rPr>
      </w:pPr>
      <w:bookmarkStart w:id="24" w:name="OLE_LINK128"/>
      <w:r>
        <w:rPr>
          <w:rFonts w:hint="eastAsia"/>
          <w:snapToGrid w:val="0"/>
          <w:sz w:val="24"/>
          <w:szCs w:val="24"/>
        </w:rPr>
        <w:t>本文件</w:t>
      </w:r>
      <w:r>
        <w:rPr>
          <w:snapToGrid w:val="0"/>
          <w:sz w:val="24"/>
          <w:szCs w:val="24"/>
        </w:rPr>
        <w:t>在现行法律法规的框架内起草，与现行法律法规</w:t>
      </w:r>
      <w:r>
        <w:rPr>
          <w:rFonts w:hint="eastAsia"/>
          <w:snapToGrid w:val="0"/>
          <w:sz w:val="24"/>
          <w:szCs w:val="24"/>
        </w:rPr>
        <w:t>保持协调一致，</w:t>
      </w:r>
      <w:r>
        <w:rPr>
          <w:snapToGrid w:val="0"/>
          <w:sz w:val="24"/>
          <w:szCs w:val="24"/>
        </w:rPr>
        <w:t>没有矛盾或冲突</w:t>
      </w:r>
      <w:r>
        <w:rPr>
          <w:rFonts w:hint="eastAsia"/>
          <w:snapToGrid w:val="0"/>
          <w:sz w:val="24"/>
          <w:szCs w:val="24"/>
        </w:rPr>
        <w:t>。</w:t>
      </w:r>
      <w:bookmarkEnd w:id="24"/>
      <w:r>
        <w:rPr>
          <w:rFonts w:hint="eastAsia"/>
          <w:snapToGrid w:val="0"/>
          <w:sz w:val="24"/>
          <w:szCs w:val="24"/>
        </w:rPr>
        <w:t>标准文本中对于产品的部分技术指标、试验方法、包装、储存和运输以及其他要求直接参考和引用了现行有关国家标准，不再进行重复规定。</w:t>
      </w:r>
    </w:p>
    <w:p w14:paraId="4B13EC2B">
      <w:pPr>
        <w:pStyle w:val="2"/>
        <w:keepNext w:val="0"/>
        <w:keepLines w:val="0"/>
        <w:widowControl w:val="0"/>
        <w:adjustRightInd/>
        <w:snapToGrid/>
        <w:ind w:firstLine="560"/>
        <w:rPr>
          <w:rFonts w:ascii="Times New Roman" w:hAnsi="Times New Roman" w:cs="Times New Roman"/>
          <w:b w:val="0"/>
          <w:bCs/>
          <w:szCs w:val="44"/>
          <w:lang w:bidi="ar-SA"/>
        </w:rPr>
      </w:pPr>
      <w:bookmarkStart w:id="25" w:name="OLE_LINK132"/>
      <w:r>
        <w:rPr>
          <w:rFonts w:hint="eastAsia" w:ascii="Times New Roman" w:hAnsi="Times New Roman" w:cs="Times New Roman"/>
          <w:b w:val="0"/>
          <w:bCs/>
          <w:szCs w:val="44"/>
          <w:lang w:bidi="ar-SA"/>
        </w:rPr>
        <w:t>六、重大分歧意见的处理经过和依据</w:t>
      </w:r>
    </w:p>
    <w:bookmarkEnd w:id="25"/>
    <w:p w14:paraId="48FCABC3">
      <w:pPr>
        <w:spacing w:line="500" w:lineRule="exact"/>
        <w:ind w:firstLine="480"/>
        <w:rPr>
          <w:sz w:val="24"/>
          <w:szCs w:val="24"/>
        </w:rPr>
      </w:pPr>
      <w:r>
        <w:rPr>
          <w:sz w:val="24"/>
          <w:szCs w:val="24"/>
        </w:rPr>
        <w:t>无。</w:t>
      </w:r>
    </w:p>
    <w:p w14:paraId="6C1BDF14">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七、标准作为强制性或推荐性标准的建议</w:t>
      </w:r>
    </w:p>
    <w:p w14:paraId="5D13AD2E">
      <w:pPr>
        <w:spacing w:line="500" w:lineRule="exact"/>
        <w:ind w:firstLine="480"/>
        <w:rPr>
          <w:sz w:val="24"/>
          <w:szCs w:val="24"/>
        </w:rPr>
      </w:pPr>
      <w:r>
        <w:rPr>
          <w:sz w:val="24"/>
          <w:szCs w:val="24"/>
        </w:rPr>
        <w:t>建议本标准作为推荐性标准执行。</w:t>
      </w:r>
    </w:p>
    <w:p w14:paraId="2813FB21">
      <w:pPr>
        <w:pStyle w:val="2"/>
        <w:keepNext w:val="0"/>
        <w:keepLines w:val="0"/>
        <w:widowControl w:val="0"/>
        <w:adjustRightInd/>
        <w:snapToGrid/>
        <w:ind w:firstLine="560"/>
        <w:rPr>
          <w:rFonts w:ascii="Times New Roman" w:hAnsi="Times New Roman" w:cs="Times New Roman"/>
          <w:b w:val="0"/>
          <w:bCs/>
          <w:szCs w:val="44"/>
          <w:lang w:bidi="ar-SA"/>
        </w:rPr>
      </w:pPr>
      <w:bookmarkStart w:id="26" w:name="OLE_LINK131"/>
      <w:r>
        <w:rPr>
          <w:rFonts w:hint="eastAsia" w:ascii="Times New Roman" w:hAnsi="Times New Roman" w:cs="Times New Roman"/>
          <w:b w:val="0"/>
          <w:bCs/>
          <w:szCs w:val="44"/>
          <w:lang w:bidi="ar-SA"/>
        </w:rPr>
        <w:t>八、贯彻标准的要求和措施建议（包括组织实施、技术措施、过渡办法等）</w:t>
      </w:r>
      <w:bookmarkStart w:id="27" w:name="OLE_LINK127"/>
    </w:p>
    <w:p w14:paraId="1E12FA4A">
      <w:pPr>
        <w:spacing w:line="500" w:lineRule="exact"/>
        <w:ind w:firstLine="480"/>
        <w:textAlignment w:val="baseline"/>
        <w:rPr>
          <w:sz w:val="24"/>
        </w:rPr>
      </w:pPr>
      <w:r>
        <w:rPr>
          <w:sz w:val="24"/>
        </w:rPr>
        <w:t>无</w:t>
      </w:r>
      <w:r>
        <w:rPr>
          <w:rFonts w:hint="eastAsia"/>
          <w:sz w:val="24"/>
        </w:rPr>
        <w:t>。</w:t>
      </w:r>
    </w:p>
    <w:bookmarkEnd w:id="26"/>
    <w:p w14:paraId="733CABD0">
      <w:pPr>
        <w:spacing w:line="500" w:lineRule="exact"/>
        <w:ind w:firstLine="560"/>
        <w:textAlignment w:val="baseline"/>
        <w:outlineLvl w:val="0"/>
        <w:rPr>
          <w:rFonts w:eastAsia="黑体"/>
          <w:bCs/>
          <w:kern w:val="44"/>
          <w:sz w:val="28"/>
          <w:szCs w:val="44"/>
        </w:rPr>
      </w:pPr>
      <w:r>
        <w:rPr>
          <w:rFonts w:eastAsia="黑体"/>
          <w:bCs/>
          <w:kern w:val="44"/>
          <w:sz w:val="28"/>
          <w:szCs w:val="44"/>
        </w:rPr>
        <w:t>九、废止现行有关标准的建议</w:t>
      </w:r>
    </w:p>
    <w:bookmarkEnd w:id="27"/>
    <w:p w14:paraId="7C45C4B7">
      <w:pPr>
        <w:spacing w:line="500" w:lineRule="exact"/>
        <w:ind w:firstLine="560"/>
        <w:textAlignment w:val="baseline"/>
        <w:outlineLvl w:val="0"/>
        <w:rPr>
          <w:rFonts w:eastAsia="黑体"/>
          <w:bCs/>
          <w:kern w:val="44"/>
          <w:sz w:val="28"/>
          <w:szCs w:val="44"/>
        </w:rPr>
      </w:pPr>
      <w:r>
        <w:rPr>
          <w:rFonts w:eastAsia="黑体"/>
          <w:bCs/>
          <w:kern w:val="44"/>
          <w:sz w:val="28"/>
          <w:szCs w:val="44"/>
        </w:rPr>
        <w:t>十、其他应予说明的事项</w:t>
      </w:r>
    </w:p>
    <w:p w14:paraId="2145882D">
      <w:pPr>
        <w:spacing w:line="20" w:lineRule="exact"/>
        <w:ind w:firstLine="480"/>
        <w:textAlignment w:val="baseline"/>
        <w:rPr>
          <w:sz w:val="24"/>
        </w:rPr>
      </w:pPr>
      <w:r>
        <w:rPr>
          <w:sz w:val="24"/>
        </w:rPr>
        <w:t>无。</w:t>
      </w:r>
    </w:p>
    <w:p w14:paraId="1801A9EF">
      <w:pPr>
        <w:spacing w:line="500" w:lineRule="exact"/>
        <w:ind w:firstLine="482"/>
        <w:rPr>
          <w:bCs/>
          <w:sz w:val="24"/>
          <w:szCs w:val="24"/>
        </w:rPr>
      </w:pPr>
      <w:r>
        <w:rPr>
          <w:b/>
          <w:bCs/>
          <w:sz w:val="24"/>
          <w:szCs w:val="24"/>
        </w:rPr>
        <w:t xml:space="preserve">                                                      </w:t>
      </w:r>
      <w:r>
        <w:rPr>
          <w:bCs/>
          <w:sz w:val="24"/>
          <w:szCs w:val="24"/>
        </w:rPr>
        <w:t>标准编制组</w:t>
      </w:r>
    </w:p>
    <w:p w14:paraId="40DC23BF">
      <w:pPr>
        <w:spacing w:line="500" w:lineRule="exact"/>
        <w:ind w:firstLine="480"/>
        <w:rPr>
          <w:rFonts w:ascii="Times New Roman" w:hAnsi="Times New Roman" w:cs="Times New Roman"/>
          <w:bCs/>
          <w:sz w:val="24"/>
          <w:szCs w:val="24"/>
        </w:rPr>
      </w:pPr>
      <w:r>
        <w:rPr>
          <w:bCs/>
          <w:sz w:val="24"/>
          <w:szCs w:val="24"/>
        </w:rPr>
        <w:t xml:space="preserve">                                                      </w:t>
      </w:r>
      <w:r>
        <w:rPr>
          <w:rFonts w:ascii="Times New Roman" w:hAnsi="Times New Roman" w:cs="Times New Roman"/>
          <w:bCs/>
          <w:sz w:val="24"/>
          <w:szCs w:val="24"/>
        </w:rPr>
        <w:t>202</w:t>
      </w:r>
      <w:r>
        <w:rPr>
          <w:rFonts w:hint="eastAsia" w:ascii="Times New Roman" w:hAnsi="Times New Roman" w:cs="Times New Roman"/>
          <w:bCs/>
          <w:sz w:val="24"/>
          <w:szCs w:val="24"/>
        </w:rPr>
        <w:t>5</w:t>
      </w:r>
      <w:r>
        <w:rPr>
          <w:rFonts w:ascii="Times New Roman" w:hAnsi="Times New Roman" w:cs="Times New Roman"/>
          <w:bCs/>
          <w:sz w:val="24"/>
          <w:szCs w:val="24"/>
        </w:rPr>
        <w:t>年5月</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1417" w:footer="1134"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432582"/>
      <w:docPartObj>
        <w:docPartGallery w:val="autotext"/>
      </w:docPartObj>
    </w:sdtPr>
    <w:sdtContent>
      <w:p w14:paraId="56DB0BCB">
        <w:pPr>
          <w:pStyle w:val="7"/>
          <w:ind w:firstLine="360"/>
          <w:jc w:val="center"/>
        </w:pPr>
        <w:r>
          <w:fldChar w:fldCharType="begin"/>
        </w:r>
        <w:r>
          <w:instrText xml:space="preserve">PAGE   \* MERGEFORMAT</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54B88">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08B34">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A691D">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21B76">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92D86">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6"/>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0"/>
      <w:suff w:val="nothing"/>
      <w:lvlText w:val="%1.%2.%3　"/>
      <w:lvlJc w:val="left"/>
      <w:pPr>
        <w:ind w:left="0" w:firstLine="0"/>
      </w:pPr>
      <w:rPr>
        <w:rFonts w:hint="eastAsia" w:ascii="黑体" w:hAnsi="Times New Roman" w:eastAsia="黑体"/>
        <w:b w:val="0"/>
        <w:i w:val="0"/>
        <w:sz w:val="21"/>
      </w:rPr>
    </w:lvl>
    <w:lvl w:ilvl="3" w:tentative="0">
      <w:start w:val="1"/>
      <w:numFmt w:val="decimal"/>
      <w:pStyle w:val="42"/>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34"/>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43"/>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1961AC5"/>
    <w:multiLevelType w:val="multilevel"/>
    <w:tmpl w:val="61961AC5"/>
    <w:lvl w:ilvl="0" w:tentative="0">
      <w:start w:val="1"/>
      <w:numFmt w:val="chineseCountingThousand"/>
      <w:suff w:val="nothing"/>
      <w:lvlText w:val="第%1章"/>
      <w:lvlJc w:val="left"/>
      <w:pPr>
        <w:ind w:left="0" w:firstLine="0"/>
      </w:pPr>
      <w:rPr>
        <w:rFonts w:hint="eastAsia"/>
      </w:rPr>
    </w:lvl>
    <w:lvl w:ilvl="1" w:tentative="0">
      <w:start w:val="1"/>
      <w:numFmt w:val="none"/>
      <w:pStyle w:val="3"/>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646260FA"/>
    <w:multiLevelType w:val="multilevel"/>
    <w:tmpl w:val="646260FA"/>
    <w:lvl w:ilvl="0" w:tentative="0">
      <w:start w:val="1"/>
      <w:numFmt w:val="decimal"/>
      <w:pStyle w:val="3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2"/>
      <w:suff w:val="nothing"/>
      <w:lvlText w:val="%1%2　"/>
      <w:lvlJc w:val="left"/>
      <w:pPr>
        <w:ind w:left="0" w:firstLine="0"/>
      </w:pPr>
      <w:rPr>
        <w:rFonts w:hint="eastAsia" w:ascii="黑体" w:eastAsia="黑体"/>
        <w:b w:val="0"/>
        <w:i w:val="0"/>
        <w:sz w:val="21"/>
      </w:rPr>
    </w:lvl>
    <w:lvl w:ilvl="2" w:tentative="0">
      <w:start w:val="1"/>
      <w:numFmt w:val="decimal"/>
      <w:pStyle w:val="5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1418" w:firstLine="0"/>
      </w:pPr>
      <w:rPr>
        <w:rFonts w:hint="eastAsia" w:ascii="黑体" w:eastAsia="黑体"/>
        <w:b w:val="0"/>
        <w:i w:val="0"/>
        <w:color w:val="auto"/>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DBF04F4"/>
    <w:multiLevelType w:val="multilevel"/>
    <w:tmpl w:val="6DBF04F4"/>
    <w:lvl w:ilvl="0" w:tentative="0">
      <w:start w:val="1"/>
      <w:numFmt w:val="none"/>
      <w:pStyle w:val="3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0"/>
  </w:num>
  <w:num w:numId="3">
    <w:abstractNumId w:val="1"/>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xYmNiMmFiOWI4ODczM2I1MTRmYWYyMWE0NzVhNzQifQ=="/>
  </w:docVars>
  <w:rsids>
    <w:rsidRoot w:val="00A241FB"/>
    <w:rsid w:val="00022B91"/>
    <w:rsid w:val="000574ED"/>
    <w:rsid w:val="00105208"/>
    <w:rsid w:val="001559B8"/>
    <w:rsid w:val="00157045"/>
    <w:rsid w:val="001D78E4"/>
    <w:rsid w:val="001E1983"/>
    <w:rsid w:val="002965A7"/>
    <w:rsid w:val="002A1B70"/>
    <w:rsid w:val="002D213C"/>
    <w:rsid w:val="002D3E9D"/>
    <w:rsid w:val="0030723C"/>
    <w:rsid w:val="00355578"/>
    <w:rsid w:val="00366739"/>
    <w:rsid w:val="0036785B"/>
    <w:rsid w:val="003752AB"/>
    <w:rsid w:val="003C6F3B"/>
    <w:rsid w:val="003D66B4"/>
    <w:rsid w:val="004279F7"/>
    <w:rsid w:val="00430E3C"/>
    <w:rsid w:val="00431B68"/>
    <w:rsid w:val="00433588"/>
    <w:rsid w:val="004C1FA8"/>
    <w:rsid w:val="004F037F"/>
    <w:rsid w:val="00500532"/>
    <w:rsid w:val="0051085F"/>
    <w:rsid w:val="00554AAE"/>
    <w:rsid w:val="005629CB"/>
    <w:rsid w:val="00577718"/>
    <w:rsid w:val="00592515"/>
    <w:rsid w:val="005C6ADC"/>
    <w:rsid w:val="005F067C"/>
    <w:rsid w:val="006165C9"/>
    <w:rsid w:val="00622E60"/>
    <w:rsid w:val="00681F41"/>
    <w:rsid w:val="006C7150"/>
    <w:rsid w:val="006E7294"/>
    <w:rsid w:val="00731B99"/>
    <w:rsid w:val="0075417F"/>
    <w:rsid w:val="00755451"/>
    <w:rsid w:val="007558C3"/>
    <w:rsid w:val="007819A5"/>
    <w:rsid w:val="00804749"/>
    <w:rsid w:val="0088436E"/>
    <w:rsid w:val="008A07C4"/>
    <w:rsid w:val="00920750"/>
    <w:rsid w:val="00965EE4"/>
    <w:rsid w:val="00987ED2"/>
    <w:rsid w:val="009B36D3"/>
    <w:rsid w:val="009B5B08"/>
    <w:rsid w:val="009E0EEB"/>
    <w:rsid w:val="009E4416"/>
    <w:rsid w:val="009E5BB5"/>
    <w:rsid w:val="00A06D3B"/>
    <w:rsid w:val="00A12741"/>
    <w:rsid w:val="00A1444C"/>
    <w:rsid w:val="00A2159E"/>
    <w:rsid w:val="00A241FB"/>
    <w:rsid w:val="00A6252D"/>
    <w:rsid w:val="00A738A5"/>
    <w:rsid w:val="00AD1339"/>
    <w:rsid w:val="00BB1411"/>
    <w:rsid w:val="00BF08A7"/>
    <w:rsid w:val="00C0508D"/>
    <w:rsid w:val="00C41F0E"/>
    <w:rsid w:val="00C43D7B"/>
    <w:rsid w:val="00C4675F"/>
    <w:rsid w:val="00C60D45"/>
    <w:rsid w:val="00C97C3D"/>
    <w:rsid w:val="00D258BF"/>
    <w:rsid w:val="00D56D84"/>
    <w:rsid w:val="00D67FBE"/>
    <w:rsid w:val="00D72B01"/>
    <w:rsid w:val="00D7568F"/>
    <w:rsid w:val="00DA5C53"/>
    <w:rsid w:val="00E11907"/>
    <w:rsid w:val="00E23FFF"/>
    <w:rsid w:val="00E508A4"/>
    <w:rsid w:val="00E954BD"/>
    <w:rsid w:val="00EF0913"/>
    <w:rsid w:val="00F53F3A"/>
    <w:rsid w:val="010A6538"/>
    <w:rsid w:val="012320E7"/>
    <w:rsid w:val="01344802"/>
    <w:rsid w:val="013F1C5A"/>
    <w:rsid w:val="016C0FA1"/>
    <w:rsid w:val="0176597C"/>
    <w:rsid w:val="019D3EAB"/>
    <w:rsid w:val="01A83C46"/>
    <w:rsid w:val="01B446F6"/>
    <w:rsid w:val="01BD35AB"/>
    <w:rsid w:val="01E30DAF"/>
    <w:rsid w:val="02034E2E"/>
    <w:rsid w:val="020E2058"/>
    <w:rsid w:val="020E3E06"/>
    <w:rsid w:val="023525D8"/>
    <w:rsid w:val="02702D13"/>
    <w:rsid w:val="02B13C3C"/>
    <w:rsid w:val="02D1511D"/>
    <w:rsid w:val="02E42DB9"/>
    <w:rsid w:val="02FE7F5E"/>
    <w:rsid w:val="03424BB5"/>
    <w:rsid w:val="035219A2"/>
    <w:rsid w:val="03923BB3"/>
    <w:rsid w:val="03BB7FBE"/>
    <w:rsid w:val="03CC5D27"/>
    <w:rsid w:val="03D8291E"/>
    <w:rsid w:val="040A4AA1"/>
    <w:rsid w:val="04762137"/>
    <w:rsid w:val="049C7DEF"/>
    <w:rsid w:val="04B8274F"/>
    <w:rsid w:val="0500133C"/>
    <w:rsid w:val="051E333A"/>
    <w:rsid w:val="052F2D69"/>
    <w:rsid w:val="05340028"/>
    <w:rsid w:val="05597A8E"/>
    <w:rsid w:val="057E74F5"/>
    <w:rsid w:val="05BE00F4"/>
    <w:rsid w:val="05D62E8D"/>
    <w:rsid w:val="06514C09"/>
    <w:rsid w:val="0667442D"/>
    <w:rsid w:val="06695EB2"/>
    <w:rsid w:val="069B5E85"/>
    <w:rsid w:val="06C21663"/>
    <w:rsid w:val="07B92A66"/>
    <w:rsid w:val="07C9722F"/>
    <w:rsid w:val="080F6A30"/>
    <w:rsid w:val="081E1587"/>
    <w:rsid w:val="082731AE"/>
    <w:rsid w:val="08AE00F1"/>
    <w:rsid w:val="08D311B1"/>
    <w:rsid w:val="08F72A0F"/>
    <w:rsid w:val="08FE74AC"/>
    <w:rsid w:val="08FF6B9F"/>
    <w:rsid w:val="093C74AB"/>
    <w:rsid w:val="095742E5"/>
    <w:rsid w:val="097A7FD3"/>
    <w:rsid w:val="09BE4364"/>
    <w:rsid w:val="09F047D6"/>
    <w:rsid w:val="0A0425B4"/>
    <w:rsid w:val="0A1E4E03"/>
    <w:rsid w:val="0AD025A1"/>
    <w:rsid w:val="0AD57BB7"/>
    <w:rsid w:val="0AD936FE"/>
    <w:rsid w:val="0AE93662"/>
    <w:rsid w:val="0B257326"/>
    <w:rsid w:val="0B3C19E4"/>
    <w:rsid w:val="0B566A96"/>
    <w:rsid w:val="0B616A0C"/>
    <w:rsid w:val="0B633415"/>
    <w:rsid w:val="0B8909A2"/>
    <w:rsid w:val="0B8D2240"/>
    <w:rsid w:val="0B8E420A"/>
    <w:rsid w:val="0BBE064B"/>
    <w:rsid w:val="0C0A1AE2"/>
    <w:rsid w:val="0C580AA0"/>
    <w:rsid w:val="0C6E02C3"/>
    <w:rsid w:val="0C743400"/>
    <w:rsid w:val="0CA85443"/>
    <w:rsid w:val="0CAD39BE"/>
    <w:rsid w:val="0CDB7809"/>
    <w:rsid w:val="0D2941EA"/>
    <w:rsid w:val="0D4100A2"/>
    <w:rsid w:val="0D4C1C87"/>
    <w:rsid w:val="0D4D216F"/>
    <w:rsid w:val="0D781858"/>
    <w:rsid w:val="0D833756"/>
    <w:rsid w:val="0D8E6B48"/>
    <w:rsid w:val="0D9E5A0B"/>
    <w:rsid w:val="0DDB285F"/>
    <w:rsid w:val="0DE85E53"/>
    <w:rsid w:val="0E0B0C2A"/>
    <w:rsid w:val="0E5B15B9"/>
    <w:rsid w:val="0E9168D0"/>
    <w:rsid w:val="0F046CBD"/>
    <w:rsid w:val="0F3C52CF"/>
    <w:rsid w:val="0F3D323C"/>
    <w:rsid w:val="0F5D36FF"/>
    <w:rsid w:val="0F6A73DB"/>
    <w:rsid w:val="0F9F0794"/>
    <w:rsid w:val="0FA12B66"/>
    <w:rsid w:val="0FA61B22"/>
    <w:rsid w:val="0FAB0EE6"/>
    <w:rsid w:val="0FB029A1"/>
    <w:rsid w:val="0FBA737B"/>
    <w:rsid w:val="0FBE46E2"/>
    <w:rsid w:val="100827DD"/>
    <w:rsid w:val="104F66DC"/>
    <w:rsid w:val="10791E78"/>
    <w:rsid w:val="10D12BCF"/>
    <w:rsid w:val="10FD1C16"/>
    <w:rsid w:val="10FE156B"/>
    <w:rsid w:val="11375E28"/>
    <w:rsid w:val="115832F0"/>
    <w:rsid w:val="11991213"/>
    <w:rsid w:val="119968E4"/>
    <w:rsid w:val="119B31DD"/>
    <w:rsid w:val="11B21219"/>
    <w:rsid w:val="12105979"/>
    <w:rsid w:val="12211934"/>
    <w:rsid w:val="12346D4B"/>
    <w:rsid w:val="124D44D7"/>
    <w:rsid w:val="124E2555"/>
    <w:rsid w:val="12817EF0"/>
    <w:rsid w:val="12BE7183"/>
    <w:rsid w:val="12D60970"/>
    <w:rsid w:val="12DD1229"/>
    <w:rsid w:val="12EF4AAB"/>
    <w:rsid w:val="12EF777D"/>
    <w:rsid w:val="13095F47"/>
    <w:rsid w:val="13223BB5"/>
    <w:rsid w:val="133C534F"/>
    <w:rsid w:val="139323BD"/>
    <w:rsid w:val="13954387"/>
    <w:rsid w:val="13967780"/>
    <w:rsid w:val="13C04BA1"/>
    <w:rsid w:val="13FB7F63"/>
    <w:rsid w:val="13FE2D40"/>
    <w:rsid w:val="144B28BE"/>
    <w:rsid w:val="147862D3"/>
    <w:rsid w:val="149363ED"/>
    <w:rsid w:val="14C87450"/>
    <w:rsid w:val="14D62EA9"/>
    <w:rsid w:val="14E8498B"/>
    <w:rsid w:val="15451DDD"/>
    <w:rsid w:val="157C27DC"/>
    <w:rsid w:val="159E5049"/>
    <w:rsid w:val="15B94470"/>
    <w:rsid w:val="162D0E9D"/>
    <w:rsid w:val="167651EB"/>
    <w:rsid w:val="16887096"/>
    <w:rsid w:val="16B97E07"/>
    <w:rsid w:val="16CB6312"/>
    <w:rsid w:val="16E64352"/>
    <w:rsid w:val="16FE2244"/>
    <w:rsid w:val="17012CAE"/>
    <w:rsid w:val="170B2B2D"/>
    <w:rsid w:val="1728748F"/>
    <w:rsid w:val="175B1444"/>
    <w:rsid w:val="177E3384"/>
    <w:rsid w:val="18100480"/>
    <w:rsid w:val="1840063A"/>
    <w:rsid w:val="185C36C6"/>
    <w:rsid w:val="18601C67"/>
    <w:rsid w:val="186407CC"/>
    <w:rsid w:val="187447AF"/>
    <w:rsid w:val="18925339"/>
    <w:rsid w:val="18B07EB6"/>
    <w:rsid w:val="18B3705E"/>
    <w:rsid w:val="18E15979"/>
    <w:rsid w:val="19033B41"/>
    <w:rsid w:val="190F698A"/>
    <w:rsid w:val="196071E6"/>
    <w:rsid w:val="19633645"/>
    <w:rsid w:val="19703790"/>
    <w:rsid w:val="19826EF3"/>
    <w:rsid w:val="1991251E"/>
    <w:rsid w:val="19923117"/>
    <w:rsid w:val="199D06AA"/>
    <w:rsid w:val="1A0D279E"/>
    <w:rsid w:val="1A126139"/>
    <w:rsid w:val="1A136006"/>
    <w:rsid w:val="1A153EDB"/>
    <w:rsid w:val="1A187AC0"/>
    <w:rsid w:val="1A402B73"/>
    <w:rsid w:val="1A6A4C5B"/>
    <w:rsid w:val="1A6B5E42"/>
    <w:rsid w:val="1A6E456A"/>
    <w:rsid w:val="1ADC289C"/>
    <w:rsid w:val="1AFE6CB6"/>
    <w:rsid w:val="1B0E67CD"/>
    <w:rsid w:val="1B1D4D64"/>
    <w:rsid w:val="1B441CAA"/>
    <w:rsid w:val="1B487F31"/>
    <w:rsid w:val="1B60171F"/>
    <w:rsid w:val="1BA84E74"/>
    <w:rsid w:val="1BB05AD7"/>
    <w:rsid w:val="1BB83309"/>
    <w:rsid w:val="1BEE6D2B"/>
    <w:rsid w:val="1C3109C5"/>
    <w:rsid w:val="1C345105"/>
    <w:rsid w:val="1C735482"/>
    <w:rsid w:val="1C747BBE"/>
    <w:rsid w:val="1C9613CB"/>
    <w:rsid w:val="1CCD7F95"/>
    <w:rsid w:val="1CD1312D"/>
    <w:rsid w:val="1CDE642B"/>
    <w:rsid w:val="1D0C42FA"/>
    <w:rsid w:val="1D4E55A7"/>
    <w:rsid w:val="1D6F763B"/>
    <w:rsid w:val="1DA91785"/>
    <w:rsid w:val="1DC13FCB"/>
    <w:rsid w:val="1DD57E18"/>
    <w:rsid w:val="1E2118ED"/>
    <w:rsid w:val="1E2C7696"/>
    <w:rsid w:val="1E472722"/>
    <w:rsid w:val="1E5D45F1"/>
    <w:rsid w:val="1E7B23D8"/>
    <w:rsid w:val="1E9516DF"/>
    <w:rsid w:val="1EA25BAA"/>
    <w:rsid w:val="1EDD4E34"/>
    <w:rsid w:val="1EDF0F68"/>
    <w:rsid w:val="1EF67D27"/>
    <w:rsid w:val="1F182311"/>
    <w:rsid w:val="1F2A540C"/>
    <w:rsid w:val="1F4B5CA4"/>
    <w:rsid w:val="1F5C21FD"/>
    <w:rsid w:val="1F807DBA"/>
    <w:rsid w:val="1FC104F2"/>
    <w:rsid w:val="1FEA5A5B"/>
    <w:rsid w:val="20112DD2"/>
    <w:rsid w:val="20200092"/>
    <w:rsid w:val="20462DB3"/>
    <w:rsid w:val="20490C29"/>
    <w:rsid w:val="20512A4D"/>
    <w:rsid w:val="20581CF6"/>
    <w:rsid w:val="20801F1B"/>
    <w:rsid w:val="20AC0F62"/>
    <w:rsid w:val="20C1701D"/>
    <w:rsid w:val="20DA2F51"/>
    <w:rsid w:val="211508B6"/>
    <w:rsid w:val="21410F43"/>
    <w:rsid w:val="215F1CC9"/>
    <w:rsid w:val="21986467"/>
    <w:rsid w:val="21E169EA"/>
    <w:rsid w:val="222D0C82"/>
    <w:rsid w:val="222F3BF9"/>
    <w:rsid w:val="2245341D"/>
    <w:rsid w:val="226A7D01"/>
    <w:rsid w:val="2277734E"/>
    <w:rsid w:val="22794E74"/>
    <w:rsid w:val="22801DBF"/>
    <w:rsid w:val="2294222A"/>
    <w:rsid w:val="2295268E"/>
    <w:rsid w:val="22AC524A"/>
    <w:rsid w:val="22DF561F"/>
    <w:rsid w:val="23285432"/>
    <w:rsid w:val="233E16B8"/>
    <w:rsid w:val="23531B69"/>
    <w:rsid w:val="236D7858"/>
    <w:rsid w:val="23810EF1"/>
    <w:rsid w:val="238241FC"/>
    <w:rsid w:val="238D507B"/>
    <w:rsid w:val="239D2DE4"/>
    <w:rsid w:val="23A46F6A"/>
    <w:rsid w:val="23AB5501"/>
    <w:rsid w:val="23D26466"/>
    <w:rsid w:val="23D762F6"/>
    <w:rsid w:val="23E46C65"/>
    <w:rsid w:val="23EE53EE"/>
    <w:rsid w:val="24134BC0"/>
    <w:rsid w:val="241C01AD"/>
    <w:rsid w:val="24D740D4"/>
    <w:rsid w:val="251F15AE"/>
    <w:rsid w:val="253D487F"/>
    <w:rsid w:val="256B2AA0"/>
    <w:rsid w:val="25964932"/>
    <w:rsid w:val="25A20B86"/>
    <w:rsid w:val="25A43CA8"/>
    <w:rsid w:val="26372ABE"/>
    <w:rsid w:val="263E440B"/>
    <w:rsid w:val="264E03C6"/>
    <w:rsid w:val="2670658E"/>
    <w:rsid w:val="2674712B"/>
    <w:rsid w:val="26BB1EFF"/>
    <w:rsid w:val="26CB0767"/>
    <w:rsid w:val="27160EE4"/>
    <w:rsid w:val="27165388"/>
    <w:rsid w:val="272A2BE1"/>
    <w:rsid w:val="273E668C"/>
    <w:rsid w:val="275D3041"/>
    <w:rsid w:val="27884E28"/>
    <w:rsid w:val="27AA5AD0"/>
    <w:rsid w:val="27CB43C4"/>
    <w:rsid w:val="27CE17BE"/>
    <w:rsid w:val="27DA3CB4"/>
    <w:rsid w:val="27EC0729"/>
    <w:rsid w:val="27F1133F"/>
    <w:rsid w:val="281573ED"/>
    <w:rsid w:val="28B46C06"/>
    <w:rsid w:val="28E868B0"/>
    <w:rsid w:val="29407343"/>
    <w:rsid w:val="294C2196"/>
    <w:rsid w:val="295977AD"/>
    <w:rsid w:val="29712D49"/>
    <w:rsid w:val="29746395"/>
    <w:rsid w:val="29FE796B"/>
    <w:rsid w:val="2A0C43EF"/>
    <w:rsid w:val="2A3F341C"/>
    <w:rsid w:val="2A587A65"/>
    <w:rsid w:val="2A922F77"/>
    <w:rsid w:val="2A924D25"/>
    <w:rsid w:val="2A9A1CDE"/>
    <w:rsid w:val="2AC62BBC"/>
    <w:rsid w:val="2B0C0F7B"/>
    <w:rsid w:val="2B430715"/>
    <w:rsid w:val="2BBF5FEE"/>
    <w:rsid w:val="2BEB6DE3"/>
    <w:rsid w:val="2BF23774"/>
    <w:rsid w:val="2C6E531E"/>
    <w:rsid w:val="2C950A1B"/>
    <w:rsid w:val="2C9B18A0"/>
    <w:rsid w:val="2CAD5E46"/>
    <w:rsid w:val="2CB901B1"/>
    <w:rsid w:val="2CCB5015"/>
    <w:rsid w:val="2D200D0E"/>
    <w:rsid w:val="2DCA1287"/>
    <w:rsid w:val="2E246E71"/>
    <w:rsid w:val="2E2760CC"/>
    <w:rsid w:val="2E3E7710"/>
    <w:rsid w:val="2E951288"/>
    <w:rsid w:val="2EC929D3"/>
    <w:rsid w:val="2F1D4A35"/>
    <w:rsid w:val="2F2B399A"/>
    <w:rsid w:val="2F2F5238"/>
    <w:rsid w:val="2F4A3E20"/>
    <w:rsid w:val="2F631386"/>
    <w:rsid w:val="2F754B98"/>
    <w:rsid w:val="2F764809"/>
    <w:rsid w:val="2FA653B8"/>
    <w:rsid w:val="2FA84FEB"/>
    <w:rsid w:val="2FCD270C"/>
    <w:rsid w:val="2FE80059"/>
    <w:rsid w:val="2FEE36BA"/>
    <w:rsid w:val="2FF72667"/>
    <w:rsid w:val="30093CDB"/>
    <w:rsid w:val="302419BD"/>
    <w:rsid w:val="30920C54"/>
    <w:rsid w:val="30CA500E"/>
    <w:rsid w:val="3106021B"/>
    <w:rsid w:val="31250826"/>
    <w:rsid w:val="31656344"/>
    <w:rsid w:val="31692558"/>
    <w:rsid w:val="316B4522"/>
    <w:rsid w:val="31701B06"/>
    <w:rsid w:val="31846277"/>
    <w:rsid w:val="31C15A70"/>
    <w:rsid w:val="31D73965"/>
    <w:rsid w:val="31E63BA8"/>
    <w:rsid w:val="31F41E38"/>
    <w:rsid w:val="320846B6"/>
    <w:rsid w:val="320C360F"/>
    <w:rsid w:val="321150C9"/>
    <w:rsid w:val="321B5F48"/>
    <w:rsid w:val="325A6A70"/>
    <w:rsid w:val="325D20BC"/>
    <w:rsid w:val="32601BAD"/>
    <w:rsid w:val="32875985"/>
    <w:rsid w:val="32C0264B"/>
    <w:rsid w:val="32C20171"/>
    <w:rsid w:val="32D20837"/>
    <w:rsid w:val="33354DE7"/>
    <w:rsid w:val="33CA3782"/>
    <w:rsid w:val="33D62126"/>
    <w:rsid w:val="34541E69"/>
    <w:rsid w:val="34594B05"/>
    <w:rsid w:val="346C4839"/>
    <w:rsid w:val="34983FA8"/>
    <w:rsid w:val="34A166B5"/>
    <w:rsid w:val="34D32B0A"/>
    <w:rsid w:val="35447564"/>
    <w:rsid w:val="35496BD8"/>
    <w:rsid w:val="35585FE3"/>
    <w:rsid w:val="35675000"/>
    <w:rsid w:val="358E6A31"/>
    <w:rsid w:val="35B50461"/>
    <w:rsid w:val="35D24B6F"/>
    <w:rsid w:val="35D271EC"/>
    <w:rsid w:val="35E7778A"/>
    <w:rsid w:val="35F165B8"/>
    <w:rsid w:val="360928D9"/>
    <w:rsid w:val="36653C36"/>
    <w:rsid w:val="367479D5"/>
    <w:rsid w:val="367C0D08"/>
    <w:rsid w:val="36877D33"/>
    <w:rsid w:val="368C2F70"/>
    <w:rsid w:val="36AA5AEC"/>
    <w:rsid w:val="36B9188B"/>
    <w:rsid w:val="36C00E6C"/>
    <w:rsid w:val="36D14E27"/>
    <w:rsid w:val="36FA437E"/>
    <w:rsid w:val="36FA5E94"/>
    <w:rsid w:val="36FF1994"/>
    <w:rsid w:val="3700359C"/>
    <w:rsid w:val="372E2279"/>
    <w:rsid w:val="372F1B4E"/>
    <w:rsid w:val="373F3FD8"/>
    <w:rsid w:val="37557806"/>
    <w:rsid w:val="37607F59"/>
    <w:rsid w:val="37621F23"/>
    <w:rsid w:val="378620B5"/>
    <w:rsid w:val="37A83DDA"/>
    <w:rsid w:val="37AE78CB"/>
    <w:rsid w:val="37B54749"/>
    <w:rsid w:val="37C00DF6"/>
    <w:rsid w:val="37C16C4A"/>
    <w:rsid w:val="37EF43CD"/>
    <w:rsid w:val="385176F1"/>
    <w:rsid w:val="38657F1D"/>
    <w:rsid w:val="386D5023"/>
    <w:rsid w:val="38753903"/>
    <w:rsid w:val="38961E84"/>
    <w:rsid w:val="38A81BB8"/>
    <w:rsid w:val="38E73F8A"/>
    <w:rsid w:val="38FA397D"/>
    <w:rsid w:val="3951224F"/>
    <w:rsid w:val="395A5062"/>
    <w:rsid w:val="396B1563"/>
    <w:rsid w:val="39801C8D"/>
    <w:rsid w:val="399700F3"/>
    <w:rsid w:val="39AB5E03"/>
    <w:rsid w:val="3A0472C2"/>
    <w:rsid w:val="3A86752C"/>
    <w:rsid w:val="3A8D1D3B"/>
    <w:rsid w:val="3A9248CD"/>
    <w:rsid w:val="3A963B7B"/>
    <w:rsid w:val="3AC76C6D"/>
    <w:rsid w:val="3ADE7B13"/>
    <w:rsid w:val="3AFB06C4"/>
    <w:rsid w:val="3B270540"/>
    <w:rsid w:val="3B464036"/>
    <w:rsid w:val="3B806E1C"/>
    <w:rsid w:val="3BAC151A"/>
    <w:rsid w:val="3BEA2ACC"/>
    <w:rsid w:val="3C1063F2"/>
    <w:rsid w:val="3C7B7D0F"/>
    <w:rsid w:val="3C850B8E"/>
    <w:rsid w:val="3C8C04B4"/>
    <w:rsid w:val="3C990195"/>
    <w:rsid w:val="3CE641EC"/>
    <w:rsid w:val="3CF4186F"/>
    <w:rsid w:val="3D0D5511"/>
    <w:rsid w:val="3D1617E6"/>
    <w:rsid w:val="3D730EA3"/>
    <w:rsid w:val="3DA44BB4"/>
    <w:rsid w:val="3DD07BE6"/>
    <w:rsid w:val="3DD213FB"/>
    <w:rsid w:val="3DFB6D49"/>
    <w:rsid w:val="3E095FF4"/>
    <w:rsid w:val="3E260CC7"/>
    <w:rsid w:val="3E4D7489"/>
    <w:rsid w:val="3E50084E"/>
    <w:rsid w:val="3E7A33B3"/>
    <w:rsid w:val="3E8155E1"/>
    <w:rsid w:val="3E864749"/>
    <w:rsid w:val="3EB94B1E"/>
    <w:rsid w:val="3F1104B7"/>
    <w:rsid w:val="3F1461F9"/>
    <w:rsid w:val="3F1E7077"/>
    <w:rsid w:val="3F214472"/>
    <w:rsid w:val="3F261A88"/>
    <w:rsid w:val="3F2A5A1C"/>
    <w:rsid w:val="3F3A21A7"/>
    <w:rsid w:val="3F4A203A"/>
    <w:rsid w:val="3F5D08B0"/>
    <w:rsid w:val="3F692745"/>
    <w:rsid w:val="3FB661B7"/>
    <w:rsid w:val="3FEE4BA1"/>
    <w:rsid w:val="3FF102E8"/>
    <w:rsid w:val="3FF616FF"/>
    <w:rsid w:val="40034B77"/>
    <w:rsid w:val="4024246B"/>
    <w:rsid w:val="40295CD4"/>
    <w:rsid w:val="40395CDB"/>
    <w:rsid w:val="405C39B3"/>
    <w:rsid w:val="40610FCA"/>
    <w:rsid w:val="40645D6B"/>
    <w:rsid w:val="40C65469"/>
    <w:rsid w:val="40DD2DB6"/>
    <w:rsid w:val="40F5742A"/>
    <w:rsid w:val="41032081"/>
    <w:rsid w:val="41734331"/>
    <w:rsid w:val="41961147"/>
    <w:rsid w:val="419838E2"/>
    <w:rsid w:val="41DD0007"/>
    <w:rsid w:val="420C765B"/>
    <w:rsid w:val="423B584A"/>
    <w:rsid w:val="425863FC"/>
    <w:rsid w:val="425D1C65"/>
    <w:rsid w:val="427E2E38"/>
    <w:rsid w:val="42A67168"/>
    <w:rsid w:val="42EA174A"/>
    <w:rsid w:val="434713C3"/>
    <w:rsid w:val="437159C8"/>
    <w:rsid w:val="438A0837"/>
    <w:rsid w:val="438D657A"/>
    <w:rsid w:val="43A15B81"/>
    <w:rsid w:val="43C83525"/>
    <w:rsid w:val="43C875B2"/>
    <w:rsid w:val="44261675"/>
    <w:rsid w:val="44496945"/>
    <w:rsid w:val="448C11DC"/>
    <w:rsid w:val="4493196E"/>
    <w:rsid w:val="449F4A1B"/>
    <w:rsid w:val="44AE67A8"/>
    <w:rsid w:val="44E65F41"/>
    <w:rsid w:val="45154A79"/>
    <w:rsid w:val="4517434D"/>
    <w:rsid w:val="45336CAD"/>
    <w:rsid w:val="45471BCD"/>
    <w:rsid w:val="45537EC0"/>
    <w:rsid w:val="45537FBF"/>
    <w:rsid w:val="46011AD1"/>
    <w:rsid w:val="460D5750"/>
    <w:rsid w:val="465E7D59"/>
    <w:rsid w:val="46784F17"/>
    <w:rsid w:val="46AE0CE1"/>
    <w:rsid w:val="46BB4F28"/>
    <w:rsid w:val="46BF2EEE"/>
    <w:rsid w:val="46C51B33"/>
    <w:rsid w:val="46CE3ABD"/>
    <w:rsid w:val="46D85CF7"/>
    <w:rsid w:val="46ED1809"/>
    <w:rsid w:val="46F5421F"/>
    <w:rsid w:val="471072A6"/>
    <w:rsid w:val="47154BCB"/>
    <w:rsid w:val="472F6C18"/>
    <w:rsid w:val="473F5F86"/>
    <w:rsid w:val="475353E4"/>
    <w:rsid w:val="47865059"/>
    <w:rsid w:val="47AE1288"/>
    <w:rsid w:val="47D00B20"/>
    <w:rsid w:val="480A48AE"/>
    <w:rsid w:val="48180B08"/>
    <w:rsid w:val="48533EA6"/>
    <w:rsid w:val="4882735A"/>
    <w:rsid w:val="48A513F4"/>
    <w:rsid w:val="490443C2"/>
    <w:rsid w:val="492928A1"/>
    <w:rsid w:val="4944592C"/>
    <w:rsid w:val="495A6EFE"/>
    <w:rsid w:val="496D4E83"/>
    <w:rsid w:val="49A308A5"/>
    <w:rsid w:val="49B74350"/>
    <w:rsid w:val="49C83E68"/>
    <w:rsid w:val="49D57D20"/>
    <w:rsid w:val="49DE63B9"/>
    <w:rsid w:val="49F01F40"/>
    <w:rsid w:val="4A05330E"/>
    <w:rsid w:val="4A0A0924"/>
    <w:rsid w:val="4A11580F"/>
    <w:rsid w:val="4A127A55"/>
    <w:rsid w:val="4A161077"/>
    <w:rsid w:val="4A1B0AA1"/>
    <w:rsid w:val="4A301A0D"/>
    <w:rsid w:val="4A4831FA"/>
    <w:rsid w:val="4A656F68"/>
    <w:rsid w:val="4AB21733"/>
    <w:rsid w:val="4ABE526B"/>
    <w:rsid w:val="4ACC50B4"/>
    <w:rsid w:val="4B103D18"/>
    <w:rsid w:val="4B157AF6"/>
    <w:rsid w:val="4B166E55"/>
    <w:rsid w:val="4B1F5173"/>
    <w:rsid w:val="4B2114D0"/>
    <w:rsid w:val="4B46773A"/>
    <w:rsid w:val="4B756271"/>
    <w:rsid w:val="4B904E59"/>
    <w:rsid w:val="4BAE52DF"/>
    <w:rsid w:val="4BB26B7D"/>
    <w:rsid w:val="4BBD4578"/>
    <w:rsid w:val="4BC0573E"/>
    <w:rsid w:val="4BE331DB"/>
    <w:rsid w:val="4C17284F"/>
    <w:rsid w:val="4C2A532E"/>
    <w:rsid w:val="4C4A325A"/>
    <w:rsid w:val="4C60482B"/>
    <w:rsid w:val="4CE03BBE"/>
    <w:rsid w:val="4CEC4311"/>
    <w:rsid w:val="4CFF18E3"/>
    <w:rsid w:val="4D0F7FFF"/>
    <w:rsid w:val="4D1B653C"/>
    <w:rsid w:val="4D233589"/>
    <w:rsid w:val="4D291ACF"/>
    <w:rsid w:val="4D7C38E7"/>
    <w:rsid w:val="4D9B26AF"/>
    <w:rsid w:val="4DA54E06"/>
    <w:rsid w:val="4DA625B9"/>
    <w:rsid w:val="4DC808DA"/>
    <w:rsid w:val="4E102E72"/>
    <w:rsid w:val="4E2C378D"/>
    <w:rsid w:val="4E5A52AA"/>
    <w:rsid w:val="4EC67F4A"/>
    <w:rsid w:val="4F196F13"/>
    <w:rsid w:val="4F5A029F"/>
    <w:rsid w:val="4F6603AB"/>
    <w:rsid w:val="4F732AC8"/>
    <w:rsid w:val="4F960564"/>
    <w:rsid w:val="4FD93BBD"/>
    <w:rsid w:val="501A2F43"/>
    <w:rsid w:val="50501520"/>
    <w:rsid w:val="50505E54"/>
    <w:rsid w:val="50552B58"/>
    <w:rsid w:val="506C497D"/>
    <w:rsid w:val="506F403E"/>
    <w:rsid w:val="50952E17"/>
    <w:rsid w:val="509E5922"/>
    <w:rsid w:val="50BC4CE1"/>
    <w:rsid w:val="50C31580"/>
    <w:rsid w:val="50CC366C"/>
    <w:rsid w:val="50DF2645"/>
    <w:rsid w:val="50F11EF6"/>
    <w:rsid w:val="51165E00"/>
    <w:rsid w:val="512632A1"/>
    <w:rsid w:val="51314464"/>
    <w:rsid w:val="51583D23"/>
    <w:rsid w:val="517939E1"/>
    <w:rsid w:val="51895DA1"/>
    <w:rsid w:val="51975F78"/>
    <w:rsid w:val="51C55131"/>
    <w:rsid w:val="51CE5135"/>
    <w:rsid w:val="51DF4444"/>
    <w:rsid w:val="52021EE1"/>
    <w:rsid w:val="52173BDE"/>
    <w:rsid w:val="522E2CD6"/>
    <w:rsid w:val="523B25CC"/>
    <w:rsid w:val="524B3C28"/>
    <w:rsid w:val="528154FB"/>
    <w:rsid w:val="528D20F2"/>
    <w:rsid w:val="52974D1F"/>
    <w:rsid w:val="529D006B"/>
    <w:rsid w:val="52A63B42"/>
    <w:rsid w:val="52EF60DE"/>
    <w:rsid w:val="530C2833"/>
    <w:rsid w:val="53257BD0"/>
    <w:rsid w:val="53283BC9"/>
    <w:rsid w:val="53364538"/>
    <w:rsid w:val="534A1D91"/>
    <w:rsid w:val="53CC27A6"/>
    <w:rsid w:val="53D83492"/>
    <w:rsid w:val="53DD2C05"/>
    <w:rsid w:val="53F35F85"/>
    <w:rsid w:val="53F71F19"/>
    <w:rsid w:val="54224ABC"/>
    <w:rsid w:val="5422686A"/>
    <w:rsid w:val="542F0E98"/>
    <w:rsid w:val="5435201D"/>
    <w:rsid w:val="54996B2C"/>
    <w:rsid w:val="54F732A7"/>
    <w:rsid w:val="54F8298C"/>
    <w:rsid w:val="550120CD"/>
    <w:rsid w:val="550A31C4"/>
    <w:rsid w:val="556952B8"/>
    <w:rsid w:val="5570192F"/>
    <w:rsid w:val="5572737D"/>
    <w:rsid w:val="55985036"/>
    <w:rsid w:val="55A7171D"/>
    <w:rsid w:val="55B55BE8"/>
    <w:rsid w:val="55C53951"/>
    <w:rsid w:val="55E30B5B"/>
    <w:rsid w:val="55E55DA1"/>
    <w:rsid w:val="56091A90"/>
    <w:rsid w:val="561A38B3"/>
    <w:rsid w:val="56226FF5"/>
    <w:rsid w:val="566C201F"/>
    <w:rsid w:val="566D41FE"/>
    <w:rsid w:val="56BC10FE"/>
    <w:rsid w:val="57012BCC"/>
    <w:rsid w:val="57060A82"/>
    <w:rsid w:val="577206C5"/>
    <w:rsid w:val="57B7551B"/>
    <w:rsid w:val="57B96D41"/>
    <w:rsid w:val="57FD5624"/>
    <w:rsid w:val="58697AD0"/>
    <w:rsid w:val="586A09E8"/>
    <w:rsid w:val="589715D5"/>
    <w:rsid w:val="58A3441E"/>
    <w:rsid w:val="58B2640F"/>
    <w:rsid w:val="58E10AA2"/>
    <w:rsid w:val="58FA6008"/>
    <w:rsid w:val="590C382F"/>
    <w:rsid w:val="5916420F"/>
    <w:rsid w:val="593257A1"/>
    <w:rsid w:val="593B22E3"/>
    <w:rsid w:val="5955323E"/>
    <w:rsid w:val="599E2E37"/>
    <w:rsid w:val="59AC7302"/>
    <w:rsid w:val="59B47F65"/>
    <w:rsid w:val="59C347FC"/>
    <w:rsid w:val="59F82547"/>
    <w:rsid w:val="5A0F3B18"/>
    <w:rsid w:val="5A225816"/>
    <w:rsid w:val="5A3D0E9C"/>
    <w:rsid w:val="5A3D61AC"/>
    <w:rsid w:val="5A957D96"/>
    <w:rsid w:val="5A971D60"/>
    <w:rsid w:val="5A9D2799"/>
    <w:rsid w:val="5AB10D16"/>
    <w:rsid w:val="5AC468CD"/>
    <w:rsid w:val="5B0F555F"/>
    <w:rsid w:val="5B525C87"/>
    <w:rsid w:val="5BA1276A"/>
    <w:rsid w:val="5BA81D4B"/>
    <w:rsid w:val="5BD0155F"/>
    <w:rsid w:val="5BDE576D"/>
    <w:rsid w:val="5BF62AB6"/>
    <w:rsid w:val="5C016B6B"/>
    <w:rsid w:val="5C076A71"/>
    <w:rsid w:val="5C237623"/>
    <w:rsid w:val="5C871960"/>
    <w:rsid w:val="5C912449"/>
    <w:rsid w:val="5CA22C3E"/>
    <w:rsid w:val="5CA94D77"/>
    <w:rsid w:val="5CE40B61"/>
    <w:rsid w:val="5D1F6E63"/>
    <w:rsid w:val="5D635AE5"/>
    <w:rsid w:val="5D6D6DA8"/>
    <w:rsid w:val="5D737731"/>
    <w:rsid w:val="5DAA3B58"/>
    <w:rsid w:val="5DB625DB"/>
    <w:rsid w:val="5DEB46D1"/>
    <w:rsid w:val="5E2558D5"/>
    <w:rsid w:val="5E3C570B"/>
    <w:rsid w:val="5E4D6BE5"/>
    <w:rsid w:val="5E602469"/>
    <w:rsid w:val="5E6B385C"/>
    <w:rsid w:val="5E8F7367"/>
    <w:rsid w:val="5E9067F4"/>
    <w:rsid w:val="5E9A016C"/>
    <w:rsid w:val="5ED01F28"/>
    <w:rsid w:val="5EEC1F4F"/>
    <w:rsid w:val="5EF3152F"/>
    <w:rsid w:val="5F061262"/>
    <w:rsid w:val="5F414DFD"/>
    <w:rsid w:val="5F553F98"/>
    <w:rsid w:val="5F751F44"/>
    <w:rsid w:val="5F950838"/>
    <w:rsid w:val="5FE80968"/>
    <w:rsid w:val="5FEB0458"/>
    <w:rsid w:val="602618C4"/>
    <w:rsid w:val="602A4D59"/>
    <w:rsid w:val="603040BD"/>
    <w:rsid w:val="6059795A"/>
    <w:rsid w:val="60600E46"/>
    <w:rsid w:val="606579CA"/>
    <w:rsid w:val="60B116A2"/>
    <w:rsid w:val="60DB227B"/>
    <w:rsid w:val="60F94494"/>
    <w:rsid w:val="61030EA5"/>
    <w:rsid w:val="613D4CE3"/>
    <w:rsid w:val="615D199E"/>
    <w:rsid w:val="61750921"/>
    <w:rsid w:val="61813DAD"/>
    <w:rsid w:val="618A5A4B"/>
    <w:rsid w:val="619D39D4"/>
    <w:rsid w:val="61E15FB7"/>
    <w:rsid w:val="61FF3D0A"/>
    <w:rsid w:val="61FF5F26"/>
    <w:rsid w:val="622747FC"/>
    <w:rsid w:val="62613170"/>
    <w:rsid w:val="62683FE2"/>
    <w:rsid w:val="62AA3BD4"/>
    <w:rsid w:val="62D71495"/>
    <w:rsid w:val="633204A2"/>
    <w:rsid w:val="634E1496"/>
    <w:rsid w:val="63B35731"/>
    <w:rsid w:val="640F0BB9"/>
    <w:rsid w:val="64187FAD"/>
    <w:rsid w:val="644A1BF1"/>
    <w:rsid w:val="645C36D2"/>
    <w:rsid w:val="64675289"/>
    <w:rsid w:val="64857962"/>
    <w:rsid w:val="648B6D4F"/>
    <w:rsid w:val="65102E3B"/>
    <w:rsid w:val="65242442"/>
    <w:rsid w:val="652C4C9D"/>
    <w:rsid w:val="6530528B"/>
    <w:rsid w:val="654E37B5"/>
    <w:rsid w:val="655F16CC"/>
    <w:rsid w:val="65F170C4"/>
    <w:rsid w:val="664E56D5"/>
    <w:rsid w:val="66644AC0"/>
    <w:rsid w:val="667F18FA"/>
    <w:rsid w:val="66843D80"/>
    <w:rsid w:val="66B00285"/>
    <w:rsid w:val="66B35E49"/>
    <w:rsid w:val="66C814F3"/>
    <w:rsid w:val="66C81DC2"/>
    <w:rsid w:val="66E04A8F"/>
    <w:rsid w:val="67010561"/>
    <w:rsid w:val="67185E65"/>
    <w:rsid w:val="67210478"/>
    <w:rsid w:val="672944EE"/>
    <w:rsid w:val="67527824"/>
    <w:rsid w:val="6773145F"/>
    <w:rsid w:val="678528D6"/>
    <w:rsid w:val="67B850C4"/>
    <w:rsid w:val="67E81E4D"/>
    <w:rsid w:val="68060525"/>
    <w:rsid w:val="681F3395"/>
    <w:rsid w:val="6832131A"/>
    <w:rsid w:val="685017A0"/>
    <w:rsid w:val="68B95597"/>
    <w:rsid w:val="68EF0FB9"/>
    <w:rsid w:val="690B5F52"/>
    <w:rsid w:val="691900BF"/>
    <w:rsid w:val="69623539"/>
    <w:rsid w:val="69935DE8"/>
    <w:rsid w:val="69AC6EAA"/>
    <w:rsid w:val="69C560CB"/>
    <w:rsid w:val="69C83892"/>
    <w:rsid w:val="69DC49DD"/>
    <w:rsid w:val="69E5416A"/>
    <w:rsid w:val="69F36887"/>
    <w:rsid w:val="6A02377A"/>
    <w:rsid w:val="6A5079C7"/>
    <w:rsid w:val="6A731776"/>
    <w:rsid w:val="6A7F58F7"/>
    <w:rsid w:val="6AB64D09"/>
    <w:rsid w:val="6ABC311D"/>
    <w:rsid w:val="6AD55F8D"/>
    <w:rsid w:val="6AF929BB"/>
    <w:rsid w:val="6B005C59"/>
    <w:rsid w:val="6B0D3978"/>
    <w:rsid w:val="6BAE0CB8"/>
    <w:rsid w:val="6BC87862"/>
    <w:rsid w:val="6BE0466C"/>
    <w:rsid w:val="6BE41CAE"/>
    <w:rsid w:val="6C2A2657"/>
    <w:rsid w:val="6C474C68"/>
    <w:rsid w:val="6C5010E4"/>
    <w:rsid w:val="6C673034"/>
    <w:rsid w:val="6C6D7387"/>
    <w:rsid w:val="6CD7423E"/>
    <w:rsid w:val="6CED1CB3"/>
    <w:rsid w:val="6CF523F3"/>
    <w:rsid w:val="6D65184A"/>
    <w:rsid w:val="6D913503"/>
    <w:rsid w:val="6DA47310"/>
    <w:rsid w:val="6DAD31F1"/>
    <w:rsid w:val="6DBE35C1"/>
    <w:rsid w:val="6DDB7D5E"/>
    <w:rsid w:val="6DDE15FC"/>
    <w:rsid w:val="6DF9527C"/>
    <w:rsid w:val="6E0F7A08"/>
    <w:rsid w:val="6E18118C"/>
    <w:rsid w:val="6E494CC8"/>
    <w:rsid w:val="6E7F1EDB"/>
    <w:rsid w:val="6E8913E8"/>
    <w:rsid w:val="6E8B52E0"/>
    <w:rsid w:val="6EDF73DA"/>
    <w:rsid w:val="6EF235B1"/>
    <w:rsid w:val="6EFA1F87"/>
    <w:rsid w:val="6F395A2B"/>
    <w:rsid w:val="6F3F60CB"/>
    <w:rsid w:val="6F487EA1"/>
    <w:rsid w:val="6F512931"/>
    <w:rsid w:val="6F841BAF"/>
    <w:rsid w:val="6F92269E"/>
    <w:rsid w:val="6FC00FB9"/>
    <w:rsid w:val="6FC860C0"/>
    <w:rsid w:val="70044AAA"/>
    <w:rsid w:val="70085F95"/>
    <w:rsid w:val="70353BEA"/>
    <w:rsid w:val="705359D7"/>
    <w:rsid w:val="708B393C"/>
    <w:rsid w:val="709661BE"/>
    <w:rsid w:val="70BD7BEF"/>
    <w:rsid w:val="70F53B43"/>
    <w:rsid w:val="71306613"/>
    <w:rsid w:val="71341C5F"/>
    <w:rsid w:val="714E0AE7"/>
    <w:rsid w:val="716E5301"/>
    <w:rsid w:val="71810C1C"/>
    <w:rsid w:val="71D74312"/>
    <w:rsid w:val="71FD4747"/>
    <w:rsid w:val="72180648"/>
    <w:rsid w:val="721E646B"/>
    <w:rsid w:val="72231CD3"/>
    <w:rsid w:val="723D2D95"/>
    <w:rsid w:val="723D7C42"/>
    <w:rsid w:val="726522EC"/>
    <w:rsid w:val="728B1D53"/>
    <w:rsid w:val="72C74D55"/>
    <w:rsid w:val="72E90827"/>
    <w:rsid w:val="730833A3"/>
    <w:rsid w:val="730B4C41"/>
    <w:rsid w:val="735C7ED0"/>
    <w:rsid w:val="73BA2088"/>
    <w:rsid w:val="73E144F6"/>
    <w:rsid w:val="741B1591"/>
    <w:rsid w:val="747D391D"/>
    <w:rsid w:val="74907796"/>
    <w:rsid w:val="74A72748"/>
    <w:rsid w:val="74EB6AD9"/>
    <w:rsid w:val="74F160B9"/>
    <w:rsid w:val="75385A96"/>
    <w:rsid w:val="754A3647"/>
    <w:rsid w:val="75AE7B06"/>
    <w:rsid w:val="75CC6074"/>
    <w:rsid w:val="75D97A47"/>
    <w:rsid w:val="76676633"/>
    <w:rsid w:val="76805946"/>
    <w:rsid w:val="769907B6"/>
    <w:rsid w:val="76A50FBD"/>
    <w:rsid w:val="76DA32A9"/>
    <w:rsid w:val="773A78A3"/>
    <w:rsid w:val="773F7AD4"/>
    <w:rsid w:val="77C655DB"/>
    <w:rsid w:val="77CB2BF1"/>
    <w:rsid w:val="77D045B1"/>
    <w:rsid w:val="78A952F8"/>
    <w:rsid w:val="78CC3EAC"/>
    <w:rsid w:val="78F04976"/>
    <w:rsid w:val="790C34C1"/>
    <w:rsid w:val="7924080B"/>
    <w:rsid w:val="7925094A"/>
    <w:rsid w:val="79256331"/>
    <w:rsid w:val="79361A2C"/>
    <w:rsid w:val="79536369"/>
    <w:rsid w:val="79703A50"/>
    <w:rsid w:val="79764A39"/>
    <w:rsid w:val="79984D55"/>
    <w:rsid w:val="79A656C4"/>
    <w:rsid w:val="79C01278"/>
    <w:rsid w:val="79F503F9"/>
    <w:rsid w:val="7A0C01A2"/>
    <w:rsid w:val="7A2605B3"/>
    <w:rsid w:val="7A3C1B84"/>
    <w:rsid w:val="7A5073DE"/>
    <w:rsid w:val="7A720B98"/>
    <w:rsid w:val="7A9244A9"/>
    <w:rsid w:val="7AA02113"/>
    <w:rsid w:val="7AAA2F92"/>
    <w:rsid w:val="7ACA3BF4"/>
    <w:rsid w:val="7ACF47A6"/>
    <w:rsid w:val="7AE10883"/>
    <w:rsid w:val="7AEA5A84"/>
    <w:rsid w:val="7AF406B1"/>
    <w:rsid w:val="7B0525BA"/>
    <w:rsid w:val="7B3D625A"/>
    <w:rsid w:val="7B7D2454"/>
    <w:rsid w:val="7B98728E"/>
    <w:rsid w:val="7BA63759"/>
    <w:rsid w:val="7BA7127F"/>
    <w:rsid w:val="7BE6624C"/>
    <w:rsid w:val="7BEA1986"/>
    <w:rsid w:val="7BEE3352"/>
    <w:rsid w:val="7BFF2E69"/>
    <w:rsid w:val="7C063E6E"/>
    <w:rsid w:val="7C262AEC"/>
    <w:rsid w:val="7C266648"/>
    <w:rsid w:val="7C765821"/>
    <w:rsid w:val="7CA57EB5"/>
    <w:rsid w:val="7CD04806"/>
    <w:rsid w:val="7CEB12EA"/>
    <w:rsid w:val="7CF14EA8"/>
    <w:rsid w:val="7D376B33"/>
    <w:rsid w:val="7D6349FD"/>
    <w:rsid w:val="7D901798"/>
    <w:rsid w:val="7DDC13C7"/>
    <w:rsid w:val="7E15463C"/>
    <w:rsid w:val="7E1F5A45"/>
    <w:rsid w:val="7E266DD3"/>
    <w:rsid w:val="7E461224"/>
    <w:rsid w:val="7E5C45A3"/>
    <w:rsid w:val="7E8B6C36"/>
    <w:rsid w:val="7E9E4525"/>
    <w:rsid w:val="7EBE7E5E"/>
    <w:rsid w:val="7ECB1729"/>
    <w:rsid w:val="7ECF2FC7"/>
    <w:rsid w:val="7EE8052D"/>
    <w:rsid w:val="7F315A30"/>
    <w:rsid w:val="7F427C3D"/>
    <w:rsid w:val="7F9F508F"/>
    <w:rsid w:val="7FB81CAD"/>
    <w:rsid w:val="7FD12D6F"/>
    <w:rsid w:val="7FE5681A"/>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line="360" w:lineRule="auto"/>
      <w:ind w:firstLine="420" w:firstLineChars="200"/>
      <w:jc w:val="both"/>
    </w:pPr>
    <w:rPr>
      <w:rFonts w:cs="宋体" w:asciiTheme="minorEastAsia" w:hAnsiTheme="minorEastAsia" w:eastAsiaTheme="minorEastAsia"/>
      <w:sz w:val="21"/>
      <w:lang w:val="en-US" w:eastAsia="zh-CN" w:bidi="zh-TW"/>
    </w:rPr>
  </w:style>
  <w:style w:type="paragraph" w:styleId="2">
    <w:name w:val="heading 1"/>
    <w:basedOn w:val="1"/>
    <w:next w:val="1"/>
    <w:qFormat/>
    <w:uiPriority w:val="0"/>
    <w:pPr>
      <w:keepNext/>
      <w:keepLines/>
      <w:outlineLvl w:val="0"/>
    </w:pPr>
    <w:rPr>
      <w:rFonts w:eastAsia="黑体"/>
      <w:b/>
      <w:kern w:val="44"/>
      <w:sz w:val="28"/>
    </w:rPr>
  </w:style>
  <w:style w:type="paragraph" w:styleId="3">
    <w:name w:val="heading 2"/>
    <w:basedOn w:val="1"/>
    <w:next w:val="1"/>
    <w:unhideWhenUsed/>
    <w:qFormat/>
    <w:uiPriority w:val="0"/>
    <w:pPr>
      <w:keepNext/>
      <w:keepLines/>
      <w:numPr>
        <w:ilvl w:val="1"/>
        <w:numId w:val="1"/>
      </w:numPr>
      <w:outlineLvl w:val="1"/>
    </w:pPr>
    <w:rPr>
      <w:rFonts w:ascii="Arial" w:hAnsi="Arial" w:eastAsia="楷体_GB2312" w:cstheme="minorBidi"/>
      <w:b/>
      <w:bCs/>
      <w:sz w:val="24"/>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autoRedefine/>
    <w:qFormat/>
    <w:uiPriority w:val="0"/>
  </w:style>
  <w:style w:type="paragraph" w:styleId="5">
    <w:name w:val="Body Text"/>
    <w:basedOn w:val="1"/>
    <w:semiHidden/>
    <w:qFormat/>
    <w:uiPriority w:val="0"/>
    <w:rPr>
      <w:rFonts w:ascii="黑体" w:hAnsi="黑体" w:eastAsia="黑体" w:cs="黑体"/>
      <w:sz w:val="28"/>
      <w:szCs w:val="28"/>
      <w:lang w:eastAsia="en-US" w:bidi="ar-SA"/>
    </w:rPr>
  </w:style>
  <w:style w:type="paragraph" w:styleId="6">
    <w:name w:val="Plain Text"/>
    <w:basedOn w:val="1"/>
    <w:next w:val="1"/>
    <w:qFormat/>
    <w:uiPriority w:val="0"/>
    <w:rPr>
      <w:rFonts w:ascii="宋体" w:hAnsi="Courier New"/>
    </w:rPr>
  </w:style>
  <w:style w:type="paragraph" w:styleId="7">
    <w:name w:val="footer"/>
    <w:basedOn w:val="1"/>
    <w:link w:val="63"/>
    <w:autoRedefine/>
    <w:qFormat/>
    <w:uiPriority w:val="99"/>
    <w:pPr>
      <w:ind w:right="210" w:rightChars="100"/>
      <w:jc w:val="right"/>
    </w:pPr>
    <w:rPr>
      <w:sz w:val="18"/>
      <w:szCs w:val="18"/>
    </w:rPr>
  </w:style>
  <w:style w:type="paragraph" w:styleId="8">
    <w:name w:val="header"/>
    <w:basedOn w:val="1"/>
    <w:link w:val="62"/>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9">
    <w:name w:val="Normal (Web)"/>
    <w:basedOn w:val="1"/>
    <w:qFormat/>
    <w:uiPriority w:val="0"/>
    <w:pPr>
      <w:spacing w:beforeAutospacing="1" w:afterAutospacing="1"/>
    </w:pPr>
    <w:rPr>
      <w:rFonts w:hint="eastAsia" w:ascii="宋体" w:hAnsi="宋体"/>
      <w:sz w:val="24"/>
    </w:rPr>
  </w:style>
  <w:style w:type="table" w:styleId="11">
    <w:name w:val="Table Grid"/>
    <w:basedOn w:val="10"/>
    <w:autoRedefine/>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paragraph" w:customStyle="1" w:styleId="15">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7">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8">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
    <w:name w:val="封面标准英文名称"/>
    <w:basedOn w:val="18"/>
    <w:autoRedefine/>
    <w:qFormat/>
    <w:uiPriority w:val="0"/>
    <w:pPr>
      <w:framePr w:wrap="around"/>
      <w:spacing w:before="370" w:line="400" w:lineRule="exact"/>
    </w:pPr>
    <w:rPr>
      <w:rFonts w:ascii="Times New Roman"/>
      <w:sz w:val="28"/>
      <w:szCs w:val="28"/>
    </w:rPr>
  </w:style>
  <w:style w:type="paragraph" w:customStyle="1" w:styleId="20">
    <w:name w:val="封面标准文稿类别"/>
    <w:basedOn w:val="21"/>
    <w:autoRedefine/>
    <w:qFormat/>
    <w:uiPriority w:val="0"/>
    <w:pPr>
      <w:framePr w:wrap="around"/>
      <w:spacing w:after="160" w:line="240" w:lineRule="auto"/>
    </w:pPr>
    <w:rPr>
      <w:sz w:val="24"/>
    </w:rPr>
  </w:style>
  <w:style w:type="paragraph" w:customStyle="1" w:styleId="21">
    <w:name w:val="封面一致性程度标识"/>
    <w:basedOn w:val="19"/>
    <w:autoRedefine/>
    <w:qFormat/>
    <w:uiPriority w:val="0"/>
    <w:pPr>
      <w:framePr w:wrap="around"/>
      <w:spacing w:before="440"/>
    </w:pPr>
    <w:rPr>
      <w:rFonts w:ascii="宋体" w:eastAsia="宋体"/>
    </w:rPr>
  </w:style>
  <w:style w:type="paragraph" w:customStyle="1" w:styleId="22">
    <w:name w:val="封面标准文稿编辑信息"/>
    <w:basedOn w:val="20"/>
    <w:autoRedefine/>
    <w:qFormat/>
    <w:uiPriority w:val="0"/>
    <w:pPr>
      <w:framePr w:wrap="around"/>
      <w:spacing w:before="180" w:line="180" w:lineRule="exact"/>
    </w:pPr>
    <w:rPr>
      <w:sz w:val="21"/>
    </w:rPr>
  </w:style>
  <w:style w:type="paragraph" w:customStyle="1" w:styleId="23">
    <w:name w:val="其他发布日期"/>
    <w:basedOn w:val="24"/>
    <w:autoRedefine/>
    <w:qFormat/>
    <w:uiPriority w:val="0"/>
    <w:pPr>
      <w:framePr w:wrap="around" w:vAnchor="page" w:hAnchor="text" w:x="1419"/>
    </w:pPr>
  </w:style>
  <w:style w:type="paragraph" w:customStyle="1" w:styleId="24">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5">
    <w:name w:val="其他实施日期"/>
    <w:basedOn w:val="26"/>
    <w:autoRedefine/>
    <w:qFormat/>
    <w:uiPriority w:val="0"/>
    <w:pPr>
      <w:framePr w:wrap="around"/>
    </w:pPr>
  </w:style>
  <w:style w:type="paragraph" w:customStyle="1" w:styleId="26">
    <w:name w:val="实施日期"/>
    <w:basedOn w:val="24"/>
    <w:autoRedefine/>
    <w:qFormat/>
    <w:uiPriority w:val="0"/>
    <w:pPr>
      <w:framePr w:wrap="around" w:vAnchor="page" w:hAnchor="text"/>
      <w:jc w:val="right"/>
    </w:pPr>
  </w:style>
  <w:style w:type="paragraph" w:customStyle="1" w:styleId="27">
    <w:name w:val="其他发布部门"/>
    <w:basedOn w:val="28"/>
    <w:autoRedefine/>
    <w:qFormat/>
    <w:uiPriority w:val="0"/>
    <w:pPr>
      <w:framePr w:wrap="around" w:y="15310"/>
      <w:spacing w:line="0" w:lineRule="atLeast"/>
    </w:pPr>
    <w:rPr>
      <w:rFonts w:ascii="黑体" w:eastAsia="黑体"/>
      <w:b w:val="0"/>
    </w:rPr>
  </w:style>
  <w:style w:type="paragraph" w:customStyle="1" w:styleId="28">
    <w:name w:val="发布部门"/>
    <w:next w:val="29"/>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9">
    <w:name w:val="段"/>
    <w:link w:val="61"/>
    <w:autoRedefine/>
    <w:qFormat/>
    <w:uiPriority w:val="0"/>
    <w:pPr>
      <w:tabs>
        <w:tab w:val="center" w:pos="4201"/>
        <w:tab w:val="right" w:leader="dot" w:pos="9298"/>
      </w:tabs>
      <w:autoSpaceDE w:val="0"/>
      <w:autoSpaceDN w:val="0"/>
      <w:spacing w:line="360" w:lineRule="auto"/>
      <w:ind w:firstLine="420" w:firstLineChars="200"/>
      <w:jc w:val="both"/>
    </w:pPr>
    <w:rPr>
      <w:rFonts w:ascii="宋体" w:hAnsi="Times New Roman" w:eastAsia="宋体" w:cs="Times New Roman"/>
      <w:sz w:val="21"/>
      <w:lang w:val="en-US" w:eastAsia="zh-CN" w:bidi="ar-SA"/>
    </w:rPr>
  </w:style>
  <w:style w:type="character" w:customStyle="1" w:styleId="30">
    <w:name w:val="发布"/>
    <w:basedOn w:val="12"/>
    <w:autoRedefine/>
    <w:qFormat/>
    <w:uiPriority w:val="0"/>
    <w:rPr>
      <w:rFonts w:ascii="黑体" w:eastAsia="黑体"/>
      <w:spacing w:val="85"/>
      <w:w w:val="100"/>
      <w:position w:val="3"/>
      <w:sz w:val="28"/>
      <w:szCs w:val="28"/>
    </w:rPr>
  </w:style>
  <w:style w:type="paragraph" w:customStyle="1" w:styleId="31">
    <w:name w:val="前言、引言标题"/>
    <w:next w:val="29"/>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Body text|1"/>
    <w:basedOn w:val="1"/>
    <w:autoRedefine/>
    <w:qFormat/>
    <w:uiPriority w:val="0"/>
    <w:pPr>
      <w:spacing w:line="312" w:lineRule="auto"/>
    </w:pPr>
    <w:rPr>
      <w:rFonts w:ascii="MingLiU" w:hAnsi="MingLiU" w:eastAsia="MingLiU" w:cs="MingLiU"/>
      <w:sz w:val="20"/>
      <w:lang w:val="zh-TW" w:eastAsia="zh-TW"/>
    </w:rPr>
  </w:style>
  <w:style w:type="paragraph" w:customStyle="1" w:styleId="33">
    <w:name w:val="章标题"/>
    <w:next w:val="29"/>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4">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35">
    <w:name w:val="一级无"/>
    <w:basedOn w:val="36"/>
    <w:autoRedefine/>
    <w:qFormat/>
    <w:uiPriority w:val="0"/>
    <w:pPr>
      <w:spacing w:beforeLines="0" w:afterLines="0"/>
    </w:pPr>
    <w:rPr>
      <w:rFonts w:ascii="宋体" w:eastAsia="宋体"/>
    </w:rPr>
  </w:style>
  <w:style w:type="paragraph" w:customStyle="1" w:styleId="36">
    <w:name w:val="一级条标题"/>
    <w:next w:val="29"/>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7">
    <w:name w:val="正文表标题"/>
    <w:next w:val="29"/>
    <w:autoRedefine/>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8">
    <w:name w:val="注："/>
    <w:next w:val="29"/>
    <w:autoRedefine/>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39">
    <w:name w:val="二级无"/>
    <w:basedOn w:val="40"/>
    <w:autoRedefine/>
    <w:qFormat/>
    <w:uiPriority w:val="0"/>
    <w:rPr>
      <w:rFonts w:ascii="宋体" w:eastAsia="宋体"/>
    </w:rPr>
  </w:style>
  <w:style w:type="paragraph" w:customStyle="1" w:styleId="40">
    <w:name w:val="二级条标题"/>
    <w:basedOn w:val="36"/>
    <w:next w:val="29"/>
    <w:autoRedefine/>
    <w:qFormat/>
    <w:uiPriority w:val="0"/>
    <w:pPr>
      <w:numPr>
        <w:ilvl w:val="2"/>
      </w:numPr>
      <w:spacing w:beforeLines="0" w:afterLines="0" w:line="360" w:lineRule="auto"/>
      <w:jc w:val="both"/>
      <w:outlineLvl w:val="3"/>
    </w:pPr>
  </w:style>
  <w:style w:type="paragraph" w:customStyle="1" w:styleId="41">
    <w:name w:val="三级无"/>
    <w:basedOn w:val="42"/>
    <w:autoRedefine/>
    <w:qFormat/>
    <w:uiPriority w:val="0"/>
    <w:rPr>
      <w:rFonts w:ascii="宋体" w:eastAsia="宋体"/>
    </w:rPr>
  </w:style>
  <w:style w:type="paragraph" w:customStyle="1" w:styleId="42">
    <w:name w:val="三级条标题"/>
    <w:basedOn w:val="40"/>
    <w:next w:val="29"/>
    <w:autoRedefine/>
    <w:qFormat/>
    <w:uiPriority w:val="0"/>
    <w:pPr>
      <w:numPr>
        <w:ilvl w:val="3"/>
      </w:numPr>
      <w:outlineLvl w:val="4"/>
    </w:pPr>
  </w:style>
  <w:style w:type="paragraph" w:customStyle="1" w:styleId="43">
    <w:name w:val="字母编号列项（一级）"/>
    <w:autoRedefine/>
    <w:qFormat/>
    <w:uiPriority w:val="0"/>
    <w:pPr>
      <w:numPr>
        <w:ilvl w:val="0"/>
        <w:numId w:val="6"/>
      </w:numPr>
      <w:jc w:val="both"/>
    </w:pPr>
    <w:rPr>
      <w:rFonts w:ascii="宋体" w:hAnsi="Times New Roman" w:eastAsia="宋体" w:cs="Times New Roman"/>
      <w:sz w:val="21"/>
      <w:lang w:val="en-US" w:eastAsia="zh-CN" w:bidi="ar-SA"/>
    </w:rPr>
  </w:style>
  <w:style w:type="paragraph" w:customStyle="1" w:styleId="44">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46">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7">
    <w:name w:val="标准书眉_奇数页"/>
    <w:next w:val="1"/>
    <w:autoRedefine/>
    <w:qFormat/>
    <w:uiPriority w:val="0"/>
    <w:pPr>
      <w:spacing w:after="120"/>
      <w:jc w:val="right"/>
    </w:pPr>
    <w:rPr>
      <w:rFonts w:ascii="Times New Roman" w:hAnsi="Times New Roman" w:eastAsia="宋体" w:cs="Times New Roman"/>
      <w:sz w:val="21"/>
      <w:lang w:val="en-US" w:eastAsia="zh-CN" w:bidi="ar-SA"/>
    </w:rPr>
  </w:style>
  <w:style w:type="paragraph" w:customStyle="1" w:styleId="48">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9">
    <w:name w:val="标准文件_术语条一"/>
    <w:basedOn w:val="50"/>
    <w:next w:val="53"/>
    <w:autoRedefine/>
    <w:qFormat/>
    <w:uiPriority w:val="0"/>
  </w:style>
  <w:style w:type="paragraph" w:customStyle="1" w:styleId="50">
    <w:name w:val="标准文件_一级无标题"/>
    <w:basedOn w:val="51"/>
    <w:qFormat/>
    <w:uiPriority w:val="0"/>
    <w:pPr>
      <w:spacing w:before="0" w:beforeLines="0" w:after="0" w:afterLines="0"/>
      <w:outlineLvl w:val="9"/>
    </w:pPr>
    <w:rPr>
      <w:rFonts w:ascii="宋体" w:eastAsia="宋体"/>
    </w:rPr>
  </w:style>
  <w:style w:type="paragraph" w:customStyle="1" w:styleId="51">
    <w:name w:val="标准文件_一级条标题"/>
    <w:basedOn w:val="52"/>
    <w:next w:val="53"/>
    <w:autoRedefine/>
    <w:qFormat/>
    <w:uiPriority w:val="0"/>
    <w:pPr>
      <w:numPr>
        <w:ilvl w:val="2"/>
      </w:numPr>
      <w:spacing w:before="50" w:beforeLines="50" w:after="50" w:afterLines="50"/>
      <w:outlineLvl w:val="1"/>
    </w:pPr>
  </w:style>
  <w:style w:type="paragraph" w:customStyle="1" w:styleId="52">
    <w:name w:val="标准文件_章标题"/>
    <w:next w:val="53"/>
    <w:autoRedefine/>
    <w:qFormat/>
    <w:uiPriority w:val="0"/>
    <w:pPr>
      <w:numPr>
        <w:ilvl w:val="1"/>
        <w:numId w:val="7"/>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4">
    <w:name w:val="font21"/>
    <w:basedOn w:val="12"/>
    <w:qFormat/>
    <w:uiPriority w:val="0"/>
    <w:rPr>
      <w:rFonts w:hint="default" w:ascii="Times New Roman" w:hAnsi="Times New Roman" w:cs="Times New Roman"/>
      <w:color w:val="000000"/>
      <w:sz w:val="21"/>
      <w:szCs w:val="21"/>
      <w:u w:val="none"/>
    </w:rPr>
  </w:style>
  <w:style w:type="character" w:customStyle="1" w:styleId="55">
    <w:name w:val="font11"/>
    <w:basedOn w:val="12"/>
    <w:qFormat/>
    <w:uiPriority w:val="0"/>
    <w:rPr>
      <w:rFonts w:hint="eastAsia" w:ascii="宋体" w:hAnsi="宋体" w:eastAsia="宋体" w:cs="宋体"/>
      <w:color w:val="000000"/>
      <w:sz w:val="21"/>
      <w:szCs w:val="21"/>
      <w:u w:val="none"/>
    </w:rPr>
  </w:style>
  <w:style w:type="paragraph" w:customStyle="1" w:styleId="56">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7">
    <w:name w:val="msolistparagraph"/>
    <w:basedOn w:val="1"/>
    <w:qFormat/>
    <w:uiPriority w:val="0"/>
    <w:rPr>
      <w:rFonts w:hint="eastAsia" w:ascii="等线" w:hAnsi="等线" w:eastAsia="等线"/>
    </w:rPr>
  </w:style>
  <w:style w:type="paragraph" w:styleId="58">
    <w:name w:val="List Paragraph"/>
    <w:basedOn w:val="1"/>
    <w:unhideWhenUsed/>
    <w:qFormat/>
    <w:uiPriority w:val="99"/>
  </w:style>
  <w:style w:type="paragraph" w:customStyle="1" w:styleId="59">
    <w:name w:val="Table Text"/>
    <w:basedOn w:val="1"/>
    <w:semiHidden/>
    <w:qFormat/>
    <w:uiPriority w:val="0"/>
    <w:rPr>
      <w:rFonts w:ascii="宋体" w:hAnsi="宋体" w:eastAsia="宋体"/>
      <w:sz w:val="18"/>
      <w:szCs w:val="18"/>
      <w:lang w:eastAsia="en-US" w:bidi="ar-SA"/>
    </w:rPr>
  </w:style>
  <w:style w:type="table" w:customStyle="1" w:styleId="60">
    <w:name w:val="Table Normal"/>
    <w:semiHidden/>
    <w:unhideWhenUsed/>
    <w:qFormat/>
    <w:uiPriority w:val="0"/>
    <w:tblPr>
      <w:tblCellMar>
        <w:top w:w="0" w:type="dxa"/>
        <w:left w:w="0" w:type="dxa"/>
        <w:bottom w:w="0" w:type="dxa"/>
        <w:right w:w="0" w:type="dxa"/>
      </w:tblCellMar>
    </w:tblPr>
  </w:style>
  <w:style w:type="character" w:customStyle="1" w:styleId="61">
    <w:name w:val="段 Char"/>
    <w:link w:val="29"/>
    <w:qFormat/>
    <w:locked/>
    <w:uiPriority w:val="0"/>
    <w:rPr>
      <w:rFonts w:ascii="宋体"/>
      <w:sz w:val="21"/>
    </w:rPr>
  </w:style>
  <w:style w:type="character" w:customStyle="1" w:styleId="62">
    <w:name w:val="页眉 Char"/>
    <w:basedOn w:val="12"/>
    <w:link w:val="8"/>
    <w:qFormat/>
    <w:uiPriority w:val="99"/>
    <w:rPr>
      <w:rFonts w:cs="宋体" w:asciiTheme="minorEastAsia" w:hAnsiTheme="minorEastAsia" w:eastAsiaTheme="minorEastAsia"/>
      <w:sz w:val="18"/>
      <w:lang w:bidi="zh-TW"/>
    </w:rPr>
  </w:style>
  <w:style w:type="character" w:customStyle="1" w:styleId="63">
    <w:name w:val="页脚 Char"/>
    <w:basedOn w:val="12"/>
    <w:link w:val="7"/>
    <w:qFormat/>
    <w:uiPriority w:val="99"/>
    <w:rPr>
      <w:rFonts w:cs="宋体" w:asciiTheme="minorEastAsia" w:hAnsiTheme="minorEastAsia" w:eastAsiaTheme="minorEastAsia"/>
      <w:sz w:val="18"/>
      <w:szCs w:val="18"/>
      <w:lang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C22EC-AC21-46D2-871B-9389D6C42B01}">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4683</Words>
  <Characters>5166</Characters>
  <Lines>40</Lines>
  <Paragraphs>11</Paragraphs>
  <TotalTime>53</TotalTime>
  <ScaleCrop>false</ScaleCrop>
  <LinksUpToDate>false</LinksUpToDate>
  <CharactersWithSpaces>5461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2025-05-28T06:39:00Z</dcterms:created>
  <dc:creator>wxx</dc:creator>
  <cp:lastModifiedBy>llhliulihua</cp:lastModifiedBy>
  <dcterms:modified xsi:type="dcterms:W3CDTF">2025-06-10T08:37:15Z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2B605EFCCAC34BE8813B5C8E9267B31E_13</vt:lpwstr>
  </property>
  <property fmtid="{D5CDD505-2E9C-101B-9397-08002B2CF9AE}" pid="4" name="KSOTemplateDocerSaveRecord">
    <vt:lpwstr>eyJoZGlkIjoiN2JjNjlkY2Y1Y2NkZGE5Y2Q5NGZmMDVlNzZhMDkwMDUiLCJ1c2VySWQiOiI2NzY3MTU3NDcifQ==</vt:lpwstr>
  </property>
</Properties>
</file>